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640"/>
        <w:jc w:val="center"/>
        <w:rPr>
          <w:rFonts w:hint="eastAsia" w:ascii="黑体" w:eastAsia="黑体"/>
          <w:szCs w:val="32"/>
        </w:rPr>
      </w:pPr>
    </w:p>
    <w:p>
      <w:pPr>
        <w:adjustRightInd w:val="0"/>
        <w:snapToGrid w:val="0"/>
        <w:spacing w:line="360" w:lineRule="auto"/>
        <w:ind w:firstLine="640"/>
        <w:jc w:val="center"/>
        <w:rPr>
          <w:rFonts w:hint="eastAsia" w:ascii="黑体" w:eastAsia="黑体"/>
          <w:szCs w:val="32"/>
        </w:rPr>
      </w:pPr>
    </w:p>
    <w:p>
      <w:pPr>
        <w:adjustRightInd w:val="0"/>
        <w:snapToGrid w:val="0"/>
        <w:spacing w:line="360" w:lineRule="auto"/>
        <w:ind w:firstLine="640"/>
        <w:jc w:val="center"/>
        <w:rPr>
          <w:rFonts w:hint="eastAsia" w:ascii="黑体" w:eastAsia="黑体"/>
          <w:szCs w:val="32"/>
        </w:rPr>
      </w:pPr>
    </w:p>
    <w:p>
      <w:pPr>
        <w:adjustRightInd w:val="0"/>
        <w:snapToGrid w:val="0"/>
        <w:spacing w:line="360" w:lineRule="auto"/>
        <w:ind w:firstLine="640"/>
        <w:jc w:val="center"/>
        <w:rPr>
          <w:rFonts w:ascii="黑体" w:eastAsia="黑体"/>
          <w:szCs w:val="32"/>
        </w:rPr>
      </w:pPr>
    </w:p>
    <w:p>
      <w:pPr>
        <w:adjustRightInd w:val="0"/>
        <w:snapToGrid w:val="0"/>
        <w:spacing w:line="360" w:lineRule="auto"/>
        <w:ind w:firstLine="0" w:firstLineChars="0"/>
        <w:jc w:val="center"/>
        <w:rPr>
          <w:rFonts w:hint="eastAsia" w:ascii="方正小标宋简体" w:eastAsia="方正小标宋简体"/>
          <w:sz w:val="52"/>
          <w:szCs w:val="52"/>
        </w:rPr>
      </w:pPr>
      <w:r>
        <w:rPr>
          <w:rFonts w:hint="eastAsia" w:ascii="方正小标宋简体" w:eastAsia="方正小标宋简体"/>
          <w:sz w:val="52"/>
          <w:szCs w:val="52"/>
        </w:rPr>
        <w:t>安阳市</w:t>
      </w:r>
      <w:r>
        <w:rPr>
          <w:rFonts w:hint="eastAsia" w:ascii="方正小标宋简体" w:eastAsia="方正小标宋简体"/>
          <w:sz w:val="52"/>
          <w:szCs w:val="52"/>
          <w:lang w:eastAsia="zh-CN"/>
        </w:rPr>
        <w:t>残疾人就业服务中心</w:t>
      </w:r>
    </w:p>
    <w:p>
      <w:pPr>
        <w:adjustRightInd w:val="0"/>
        <w:snapToGrid w:val="0"/>
        <w:spacing w:line="360" w:lineRule="auto"/>
        <w:ind w:firstLine="0" w:firstLineChars="0"/>
        <w:jc w:val="center"/>
        <w:rPr>
          <w:rFonts w:hint="eastAsia" w:ascii="方正小标宋简体" w:eastAsia="方正小标宋简体"/>
          <w:sz w:val="52"/>
          <w:szCs w:val="52"/>
        </w:rPr>
      </w:pPr>
      <w:r>
        <w:rPr>
          <w:rFonts w:hint="eastAsia" w:ascii="方正小标宋简体" w:eastAsia="方正小标宋简体"/>
          <w:sz w:val="52"/>
          <w:szCs w:val="52"/>
        </w:rPr>
        <w:t>201</w:t>
      </w:r>
      <w:r>
        <w:rPr>
          <w:rFonts w:hint="eastAsia" w:ascii="方正小标宋简体" w:eastAsia="方正小标宋简体"/>
          <w:sz w:val="52"/>
          <w:szCs w:val="52"/>
          <w:lang w:val="en-US" w:eastAsia="zh-CN"/>
        </w:rPr>
        <w:t>7</w:t>
      </w:r>
      <w:r>
        <w:rPr>
          <w:rFonts w:hint="eastAsia" w:ascii="方正小标宋简体" w:eastAsia="方正小标宋简体"/>
          <w:sz w:val="52"/>
          <w:szCs w:val="52"/>
        </w:rPr>
        <w:t>年度部门决算</w:t>
      </w:r>
    </w:p>
    <w:p>
      <w:pPr>
        <w:kinsoku w:val="0"/>
        <w:overflowPunct w:val="0"/>
        <w:adjustRightInd w:val="0"/>
        <w:snapToGrid w:val="0"/>
        <w:spacing w:line="360" w:lineRule="auto"/>
        <w:ind w:left="101" w:right="3569" w:firstLine="640"/>
        <w:rPr>
          <w:rFonts w:hint="eastAsia" w:ascii="仿宋_GB2312"/>
          <w:szCs w:val="32"/>
        </w:rPr>
      </w:pPr>
    </w:p>
    <w:p>
      <w:pPr>
        <w:kinsoku w:val="0"/>
        <w:overflowPunct w:val="0"/>
        <w:adjustRightInd w:val="0"/>
        <w:snapToGrid w:val="0"/>
        <w:spacing w:line="360" w:lineRule="auto"/>
        <w:ind w:left="101" w:right="3569" w:firstLine="640"/>
        <w:rPr>
          <w:rFonts w:hint="eastAsia" w:ascii="仿宋_GB2312"/>
          <w:szCs w:val="32"/>
        </w:rPr>
      </w:pPr>
    </w:p>
    <w:p>
      <w:pPr>
        <w:kinsoku w:val="0"/>
        <w:overflowPunct w:val="0"/>
        <w:adjustRightInd w:val="0"/>
        <w:snapToGrid w:val="0"/>
        <w:spacing w:line="360" w:lineRule="auto"/>
        <w:ind w:left="101" w:right="3569" w:firstLine="640"/>
        <w:rPr>
          <w:rFonts w:hint="eastAsia" w:ascii="仿宋_GB2312"/>
          <w:szCs w:val="32"/>
        </w:rPr>
      </w:pPr>
    </w:p>
    <w:p>
      <w:pPr>
        <w:kinsoku w:val="0"/>
        <w:overflowPunct w:val="0"/>
        <w:adjustRightInd w:val="0"/>
        <w:snapToGrid w:val="0"/>
        <w:spacing w:line="360" w:lineRule="auto"/>
        <w:ind w:left="101" w:right="3569" w:firstLine="640"/>
        <w:rPr>
          <w:rFonts w:hint="eastAsia" w:ascii="仿宋_GB2312"/>
          <w:szCs w:val="32"/>
        </w:rPr>
      </w:pPr>
    </w:p>
    <w:p>
      <w:pPr>
        <w:kinsoku w:val="0"/>
        <w:overflowPunct w:val="0"/>
        <w:adjustRightInd w:val="0"/>
        <w:snapToGrid w:val="0"/>
        <w:spacing w:line="360" w:lineRule="auto"/>
        <w:ind w:left="101" w:right="3569" w:firstLine="640"/>
        <w:rPr>
          <w:rFonts w:hint="eastAsia" w:ascii="仿宋_GB2312"/>
          <w:szCs w:val="32"/>
        </w:rPr>
      </w:pPr>
    </w:p>
    <w:p>
      <w:pPr>
        <w:kinsoku w:val="0"/>
        <w:overflowPunct w:val="0"/>
        <w:adjustRightInd w:val="0"/>
        <w:snapToGrid w:val="0"/>
        <w:spacing w:line="360" w:lineRule="auto"/>
        <w:ind w:left="101" w:right="3569" w:firstLine="640"/>
        <w:rPr>
          <w:rFonts w:hint="eastAsia" w:ascii="仿宋_GB2312"/>
          <w:szCs w:val="32"/>
        </w:rPr>
      </w:pPr>
    </w:p>
    <w:p>
      <w:pPr>
        <w:kinsoku w:val="0"/>
        <w:overflowPunct w:val="0"/>
        <w:adjustRightInd w:val="0"/>
        <w:snapToGrid w:val="0"/>
        <w:spacing w:line="360" w:lineRule="auto"/>
        <w:ind w:left="101" w:right="3569" w:firstLine="640"/>
        <w:rPr>
          <w:rFonts w:hint="eastAsia" w:ascii="仿宋_GB2312"/>
          <w:szCs w:val="32"/>
        </w:rPr>
      </w:pPr>
    </w:p>
    <w:p>
      <w:pPr>
        <w:kinsoku w:val="0"/>
        <w:overflowPunct w:val="0"/>
        <w:adjustRightInd w:val="0"/>
        <w:snapToGrid w:val="0"/>
        <w:spacing w:line="360" w:lineRule="auto"/>
        <w:ind w:left="101" w:right="3569" w:firstLine="640"/>
        <w:rPr>
          <w:rFonts w:hint="eastAsia" w:ascii="仿宋_GB2312"/>
          <w:szCs w:val="32"/>
        </w:rPr>
      </w:pPr>
    </w:p>
    <w:p>
      <w:pPr>
        <w:kinsoku w:val="0"/>
        <w:overflowPunct w:val="0"/>
        <w:adjustRightInd w:val="0"/>
        <w:snapToGrid w:val="0"/>
        <w:spacing w:line="360" w:lineRule="auto"/>
        <w:ind w:left="101" w:right="3569" w:firstLine="640"/>
        <w:rPr>
          <w:rFonts w:hint="eastAsia" w:ascii="仿宋_GB2312"/>
          <w:szCs w:val="32"/>
        </w:rPr>
      </w:pPr>
    </w:p>
    <w:p>
      <w:pPr>
        <w:kinsoku w:val="0"/>
        <w:overflowPunct w:val="0"/>
        <w:adjustRightInd w:val="0"/>
        <w:snapToGrid w:val="0"/>
        <w:spacing w:line="360" w:lineRule="auto"/>
        <w:ind w:left="101" w:right="3569" w:firstLine="640"/>
        <w:rPr>
          <w:rFonts w:hint="eastAsia" w:ascii="仿宋_GB2312"/>
          <w:szCs w:val="32"/>
        </w:rPr>
      </w:pPr>
    </w:p>
    <w:p>
      <w:pPr>
        <w:kinsoku w:val="0"/>
        <w:overflowPunct w:val="0"/>
        <w:adjustRightInd w:val="0"/>
        <w:snapToGrid w:val="0"/>
        <w:spacing w:line="360" w:lineRule="auto"/>
        <w:ind w:left="101" w:right="3569" w:firstLine="640"/>
        <w:rPr>
          <w:rFonts w:hint="eastAsia" w:ascii="仿宋_GB2312"/>
          <w:szCs w:val="32"/>
        </w:rPr>
      </w:pPr>
    </w:p>
    <w:p>
      <w:pPr>
        <w:kinsoku w:val="0"/>
        <w:overflowPunct w:val="0"/>
        <w:adjustRightInd w:val="0"/>
        <w:snapToGrid w:val="0"/>
        <w:spacing w:line="360" w:lineRule="auto"/>
        <w:ind w:firstLine="0" w:firstLineChars="0"/>
        <w:jc w:val="center"/>
        <w:rPr>
          <w:rFonts w:hint="eastAsia" w:ascii="宋体" w:hAnsi="宋体" w:eastAsia="宋体" w:cs="仿宋_GB2312"/>
          <w:szCs w:val="32"/>
        </w:rPr>
      </w:pPr>
      <w:r>
        <w:rPr>
          <w:rFonts w:hint="eastAsia" w:ascii="宋体" w:hAnsi="宋体" w:eastAsia="宋体"/>
          <w:szCs w:val="32"/>
        </w:rPr>
        <w:t>二</w:t>
      </w:r>
      <w:r>
        <w:rPr>
          <w:rFonts w:hint="eastAsia" w:ascii="宋体" w:hAnsi="宋体" w:eastAsia="宋体" w:cs="宋体"/>
          <w:szCs w:val="32"/>
        </w:rPr>
        <w:t>〇</w:t>
      </w:r>
      <w:r>
        <w:rPr>
          <w:rFonts w:hint="eastAsia" w:ascii="宋体" w:hAnsi="宋体" w:eastAsia="宋体" w:cs="仿宋_GB2312"/>
          <w:szCs w:val="32"/>
        </w:rPr>
        <w:t>一</w:t>
      </w:r>
      <w:r>
        <w:rPr>
          <w:rFonts w:hint="eastAsia" w:ascii="宋体" w:hAnsi="宋体" w:eastAsia="宋体" w:cs="仿宋_GB2312"/>
          <w:szCs w:val="32"/>
          <w:lang w:eastAsia="zh-CN"/>
        </w:rPr>
        <w:t>八</w:t>
      </w:r>
      <w:r>
        <w:rPr>
          <w:rFonts w:hint="eastAsia" w:ascii="宋体" w:hAnsi="宋体" w:eastAsia="宋体" w:cs="仿宋_GB2312"/>
          <w:szCs w:val="32"/>
        </w:rPr>
        <w:t>年</w:t>
      </w:r>
      <w:r>
        <w:rPr>
          <w:rFonts w:hint="eastAsia" w:ascii="宋体" w:hAnsi="宋体" w:eastAsia="宋体" w:cs="仿宋_GB2312"/>
          <w:szCs w:val="32"/>
          <w:lang w:eastAsia="zh-CN"/>
        </w:rPr>
        <w:t>九</w:t>
      </w:r>
      <w:r>
        <w:rPr>
          <w:rFonts w:hint="eastAsia" w:ascii="宋体" w:hAnsi="宋体" w:eastAsia="宋体" w:cs="仿宋_GB2312"/>
          <w:szCs w:val="32"/>
        </w:rPr>
        <w:t>月</w:t>
      </w:r>
    </w:p>
    <w:p>
      <w:pPr>
        <w:kinsoku w:val="0"/>
        <w:overflowPunct w:val="0"/>
        <w:adjustRightInd w:val="0"/>
        <w:snapToGrid w:val="0"/>
        <w:spacing w:line="360" w:lineRule="auto"/>
        <w:ind w:firstLine="0" w:firstLineChars="0"/>
        <w:jc w:val="center"/>
        <w:rPr>
          <w:rFonts w:hint="eastAsia" w:ascii="宋体" w:hAnsi="宋体" w:eastAsia="宋体" w:cs="仿宋_GB2312"/>
          <w:szCs w:val="32"/>
        </w:rPr>
      </w:pPr>
    </w:p>
    <w:p>
      <w:pPr>
        <w:kinsoku w:val="0"/>
        <w:overflowPunct w:val="0"/>
        <w:adjustRightInd w:val="0"/>
        <w:snapToGrid w:val="0"/>
        <w:spacing w:line="360" w:lineRule="auto"/>
        <w:ind w:firstLine="0" w:firstLineChars="0"/>
        <w:jc w:val="center"/>
        <w:rPr>
          <w:rFonts w:hint="eastAsia" w:ascii="宋体" w:hAnsi="宋体" w:eastAsia="宋体" w:cs="仿宋_GB2312"/>
          <w:szCs w:val="32"/>
        </w:rPr>
      </w:pPr>
    </w:p>
    <w:p>
      <w:pPr>
        <w:kinsoku w:val="0"/>
        <w:overflowPunct w:val="0"/>
        <w:adjustRightInd w:val="0"/>
        <w:snapToGrid w:val="0"/>
        <w:spacing w:line="360" w:lineRule="auto"/>
        <w:ind w:left="-142" w:right="51" w:firstLine="30" w:firstLineChars="7"/>
        <w:jc w:val="center"/>
        <w:rPr>
          <w:rFonts w:ascii="黑体" w:eastAsia="黑体" w:cs="黑体"/>
          <w:sz w:val="44"/>
          <w:szCs w:val="44"/>
        </w:rPr>
      </w:pPr>
      <w:r>
        <w:rPr>
          <w:rFonts w:hint="eastAsia" w:ascii="黑体" w:eastAsia="黑体" w:cs="黑体"/>
          <w:sz w:val="44"/>
          <w:szCs w:val="44"/>
        </w:rPr>
        <w:t>目</w:t>
      </w:r>
      <w:r>
        <w:rPr>
          <w:rFonts w:ascii="黑体" w:eastAsia="黑体" w:cs="黑体"/>
          <w:spacing w:val="2"/>
          <w:sz w:val="44"/>
          <w:szCs w:val="44"/>
        </w:rPr>
        <w:t xml:space="preserve"> </w:t>
      </w:r>
      <w:r>
        <w:rPr>
          <w:rFonts w:hint="eastAsia" w:ascii="黑体" w:eastAsia="黑体" w:cs="黑体"/>
          <w:sz w:val="44"/>
          <w:szCs w:val="44"/>
        </w:rPr>
        <w:t>录</w:t>
      </w:r>
    </w:p>
    <w:p>
      <w:pPr>
        <w:kinsoku w:val="0"/>
        <w:overflowPunct w:val="0"/>
        <w:adjustRightInd w:val="0"/>
        <w:snapToGrid w:val="0"/>
        <w:spacing w:line="360" w:lineRule="auto"/>
        <w:ind w:firstLine="640"/>
        <w:rPr>
          <w:rFonts w:hint="eastAsia" w:ascii="黑体" w:eastAsia="黑体" w:cs="黑体"/>
          <w:szCs w:val="32"/>
        </w:rPr>
      </w:pPr>
    </w:p>
    <w:p>
      <w:pPr>
        <w:kinsoku w:val="0"/>
        <w:overflowPunct w:val="0"/>
        <w:adjustRightInd w:val="0"/>
        <w:snapToGrid w:val="0"/>
        <w:spacing w:line="360" w:lineRule="auto"/>
        <w:ind w:firstLine="640"/>
        <w:rPr>
          <w:rFonts w:ascii="黑体" w:eastAsia="黑体" w:cs="黑体"/>
          <w:w w:val="99"/>
          <w:szCs w:val="32"/>
        </w:rPr>
      </w:pPr>
      <w:r>
        <w:rPr>
          <w:rFonts w:hint="eastAsia" w:ascii="黑体" w:eastAsia="黑体" w:cs="黑体"/>
          <w:szCs w:val="32"/>
        </w:rPr>
        <w:t>第一部分</w:t>
      </w:r>
      <w:r>
        <w:rPr>
          <w:rFonts w:ascii="黑体" w:eastAsia="黑体" w:cs="黑体"/>
          <w:szCs w:val="32"/>
        </w:rPr>
        <w:t xml:space="preserve"> </w:t>
      </w:r>
      <w:r>
        <w:rPr>
          <w:rFonts w:hint="eastAsia" w:ascii="黑体" w:hAnsi="黑体" w:eastAsia="黑体"/>
          <w:szCs w:val="32"/>
          <w:lang w:eastAsia="zh-CN"/>
        </w:rPr>
        <w:t>安阳市残疾人就业中心</w:t>
      </w:r>
      <w:r>
        <w:rPr>
          <w:rFonts w:hint="eastAsia" w:ascii="黑体" w:eastAsia="黑体" w:cs="黑体"/>
          <w:szCs w:val="32"/>
        </w:rPr>
        <w:t>概况</w:t>
      </w:r>
      <w:r>
        <w:rPr>
          <w:rFonts w:ascii="黑体" w:eastAsia="黑体" w:cs="黑体"/>
          <w:w w:val="99"/>
          <w:szCs w:val="32"/>
        </w:rPr>
        <w:t xml:space="preserve"> </w:t>
      </w:r>
    </w:p>
    <w:p>
      <w:pPr>
        <w:kinsoku w:val="0"/>
        <w:overflowPunct w:val="0"/>
        <w:adjustRightInd w:val="0"/>
        <w:snapToGrid w:val="0"/>
        <w:spacing w:line="360" w:lineRule="auto"/>
        <w:ind w:firstLine="640"/>
        <w:jc w:val="left"/>
        <w:rPr>
          <w:rFonts w:ascii="仿宋_GB2312" w:cs="仿宋_GB2312"/>
          <w:szCs w:val="32"/>
        </w:rPr>
      </w:pPr>
      <w:r>
        <w:rPr>
          <w:rFonts w:hint="eastAsia" w:ascii="仿宋_GB2312" w:cs="仿宋_GB2312"/>
          <w:szCs w:val="32"/>
        </w:rPr>
        <w:t>一、</w:t>
      </w:r>
      <w:r>
        <w:rPr>
          <w:rFonts w:hint="eastAsia" w:ascii="仿宋_GB2312" w:cs="仿宋_GB2312"/>
          <w:szCs w:val="32"/>
          <w:lang w:eastAsia="zh-CN"/>
        </w:rPr>
        <w:t>部门</w:t>
      </w:r>
      <w:r>
        <w:rPr>
          <w:rFonts w:hint="eastAsia" w:ascii="仿宋_GB2312" w:cs="仿宋_GB2312"/>
          <w:szCs w:val="32"/>
        </w:rPr>
        <w:t>职能</w:t>
      </w:r>
    </w:p>
    <w:p>
      <w:pPr>
        <w:kinsoku w:val="0"/>
        <w:overflowPunct w:val="0"/>
        <w:adjustRightInd w:val="0"/>
        <w:snapToGrid w:val="0"/>
        <w:spacing w:line="360" w:lineRule="auto"/>
        <w:ind w:firstLine="640"/>
        <w:jc w:val="left"/>
        <w:rPr>
          <w:rFonts w:hint="eastAsia" w:ascii="仿宋_GB2312" w:eastAsia="仿宋_GB2312" w:cs="仿宋_GB2312"/>
          <w:szCs w:val="32"/>
          <w:lang w:eastAsia="zh-CN"/>
        </w:rPr>
      </w:pPr>
      <w:r>
        <w:rPr>
          <w:rFonts w:hint="eastAsia" w:ascii="仿宋_GB2312" w:cs="仿宋_GB2312"/>
          <w:szCs w:val="32"/>
        </w:rPr>
        <w:t>二、</w:t>
      </w:r>
      <w:r>
        <w:rPr>
          <w:rFonts w:hint="eastAsia" w:ascii="仿宋_GB2312" w:cs="仿宋_GB2312"/>
          <w:szCs w:val="32"/>
          <w:lang w:eastAsia="zh-CN"/>
        </w:rPr>
        <w:t>机构设置</w:t>
      </w:r>
    </w:p>
    <w:p>
      <w:pPr>
        <w:kinsoku w:val="0"/>
        <w:overflowPunct w:val="0"/>
        <w:adjustRightInd w:val="0"/>
        <w:snapToGrid w:val="0"/>
        <w:spacing w:line="360" w:lineRule="auto"/>
        <w:ind w:firstLine="640"/>
        <w:rPr>
          <w:rFonts w:ascii="黑体" w:eastAsia="黑体" w:cs="黑体"/>
          <w:szCs w:val="32"/>
        </w:rPr>
      </w:pPr>
      <w:r>
        <w:rPr>
          <w:rFonts w:hint="eastAsia" w:ascii="黑体" w:eastAsia="黑体" w:cs="黑体"/>
          <w:szCs w:val="32"/>
        </w:rPr>
        <w:t>第二部分</w:t>
      </w:r>
      <w:r>
        <w:rPr>
          <w:rFonts w:ascii="黑体" w:eastAsia="黑体" w:cs="黑体"/>
          <w:spacing w:val="-32"/>
          <w:szCs w:val="32"/>
        </w:rPr>
        <w:t xml:space="preserve"> </w:t>
      </w:r>
      <w:r>
        <w:rPr>
          <w:rFonts w:hint="eastAsia" w:ascii="黑体" w:hAnsi="黑体" w:eastAsia="黑体"/>
          <w:szCs w:val="32"/>
        </w:rPr>
        <w:t>2</w:t>
      </w:r>
      <w:r>
        <w:rPr>
          <w:rFonts w:ascii="黑体" w:eastAsia="黑体" w:cs="黑体"/>
          <w:szCs w:val="32"/>
        </w:rPr>
        <w:t>01</w:t>
      </w:r>
      <w:r>
        <w:rPr>
          <w:rFonts w:hint="eastAsia" w:ascii="黑体" w:eastAsia="黑体" w:cs="黑体"/>
          <w:szCs w:val="32"/>
          <w:lang w:val="en-US" w:eastAsia="zh-CN"/>
        </w:rPr>
        <w:t>7</w:t>
      </w:r>
      <w:r>
        <w:rPr>
          <w:rFonts w:hint="eastAsia" w:ascii="黑体" w:eastAsia="黑体" w:cs="黑体"/>
          <w:szCs w:val="32"/>
        </w:rPr>
        <w:t>年度部门决算表</w:t>
      </w:r>
    </w:p>
    <w:p>
      <w:pPr>
        <w:kinsoku w:val="0"/>
        <w:overflowPunct w:val="0"/>
        <w:adjustRightInd w:val="0"/>
        <w:snapToGrid w:val="0"/>
        <w:spacing w:line="360" w:lineRule="auto"/>
        <w:ind w:firstLine="640"/>
        <w:jc w:val="left"/>
        <w:rPr>
          <w:rFonts w:ascii="仿宋_GB2312" w:cs="仿宋_GB2312"/>
          <w:szCs w:val="32"/>
        </w:rPr>
      </w:pPr>
      <w:r>
        <w:rPr>
          <w:rFonts w:hint="eastAsia" w:ascii="仿宋_GB2312" w:cs="仿宋_GB2312"/>
          <w:szCs w:val="32"/>
        </w:rPr>
        <w:t>一、收入支出决算总表</w:t>
      </w:r>
      <w:r>
        <w:rPr>
          <w:rFonts w:ascii="仿宋_GB2312" w:cs="仿宋_GB2312"/>
          <w:szCs w:val="32"/>
        </w:rPr>
        <w:t xml:space="preserve"> </w:t>
      </w:r>
    </w:p>
    <w:p>
      <w:pPr>
        <w:kinsoku w:val="0"/>
        <w:overflowPunct w:val="0"/>
        <w:adjustRightInd w:val="0"/>
        <w:snapToGrid w:val="0"/>
        <w:spacing w:line="360" w:lineRule="auto"/>
        <w:ind w:firstLine="640"/>
        <w:jc w:val="left"/>
        <w:rPr>
          <w:rFonts w:ascii="仿宋_GB2312" w:cs="仿宋_GB2312"/>
          <w:szCs w:val="32"/>
        </w:rPr>
      </w:pPr>
      <w:r>
        <w:rPr>
          <w:rFonts w:hint="eastAsia" w:ascii="仿宋_GB2312" w:cs="仿宋_GB2312"/>
          <w:szCs w:val="32"/>
        </w:rPr>
        <w:t>二、收入决算表</w:t>
      </w:r>
      <w:r>
        <w:rPr>
          <w:rFonts w:ascii="仿宋_GB2312" w:cs="仿宋_GB2312"/>
          <w:szCs w:val="32"/>
        </w:rPr>
        <w:t xml:space="preserve"> </w:t>
      </w:r>
    </w:p>
    <w:p>
      <w:pPr>
        <w:kinsoku w:val="0"/>
        <w:overflowPunct w:val="0"/>
        <w:adjustRightInd w:val="0"/>
        <w:snapToGrid w:val="0"/>
        <w:spacing w:line="360" w:lineRule="auto"/>
        <w:ind w:firstLine="640"/>
        <w:jc w:val="left"/>
        <w:rPr>
          <w:rFonts w:ascii="仿宋_GB2312" w:cs="仿宋_GB2312"/>
          <w:szCs w:val="32"/>
        </w:rPr>
      </w:pPr>
      <w:r>
        <w:rPr>
          <w:rFonts w:hint="eastAsia" w:ascii="仿宋_GB2312" w:cs="仿宋_GB2312"/>
          <w:szCs w:val="32"/>
        </w:rPr>
        <w:t>三、支出决算表</w:t>
      </w:r>
    </w:p>
    <w:p>
      <w:pPr>
        <w:kinsoku w:val="0"/>
        <w:overflowPunct w:val="0"/>
        <w:adjustRightInd w:val="0"/>
        <w:snapToGrid w:val="0"/>
        <w:spacing w:line="360" w:lineRule="auto"/>
        <w:ind w:firstLine="640"/>
        <w:jc w:val="left"/>
        <w:rPr>
          <w:rFonts w:ascii="仿宋_GB2312" w:cs="仿宋_GB2312"/>
          <w:szCs w:val="32"/>
        </w:rPr>
      </w:pPr>
      <w:r>
        <w:rPr>
          <w:rFonts w:hint="eastAsia" w:ascii="仿宋_GB2312" w:cs="仿宋_GB2312"/>
          <w:szCs w:val="32"/>
        </w:rPr>
        <w:t>四、财政拨款收入支出决算总表</w:t>
      </w:r>
      <w:r>
        <w:rPr>
          <w:rFonts w:ascii="仿宋_GB2312" w:cs="仿宋_GB2312"/>
          <w:szCs w:val="32"/>
        </w:rPr>
        <w:t xml:space="preserve"> </w:t>
      </w:r>
    </w:p>
    <w:p>
      <w:pPr>
        <w:kinsoku w:val="0"/>
        <w:overflowPunct w:val="0"/>
        <w:adjustRightInd w:val="0"/>
        <w:snapToGrid w:val="0"/>
        <w:spacing w:line="360" w:lineRule="auto"/>
        <w:ind w:firstLine="640"/>
        <w:jc w:val="left"/>
        <w:rPr>
          <w:rFonts w:ascii="仿宋_GB2312" w:cs="仿宋_GB2312"/>
          <w:szCs w:val="32"/>
        </w:rPr>
      </w:pPr>
      <w:r>
        <w:rPr>
          <w:rFonts w:hint="eastAsia" w:ascii="仿宋_GB2312" w:cs="仿宋_GB2312"/>
          <w:szCs w:val="32"/>
        </w:rPr>
        <w:t>五、一般公共预算财政拨款支出决算表</w:t>
      </w:r>
      <w:r>
        <w:rPr>
          <w:rFonts w:ascii="仿宋_GB2312" w:cs="仿宋_GB2312"/>
          <w:szCs w:val="32"/>
        </w:rPr>
        <w:t xml:space="preserve"> </w:t>
      </w:r>
    </w:p>
    <w:p>
      <w:pPr>
        <w:kinsoku w:val="0"/>
        <w:overflowPunct w:val="0"/>
        <w:adjustRightInd w:val="0"/>
        <w:snapToGrid w:val="0"/>
        <w:spacing w:line="360" w:lineRule="auto"/>
        <w:ind w:firstLine="640"/>
        <w:jc w:val="left"/>
        <w:rPr>
          <w:rFonts w:ascii="仿宋_GB2312" w:cs="仿宋_GB2312"/>
          <w:szCs w:val="32"/>
        </w:rPr>
      </w:pPr>
      <w:r>
        <w:rPr>
          <w:rFonts w:hint="eastAsia" w:ascii="仿宋_GB2312" w:cs="仿宋_GB2312"/>
          <w:szCs w:val="32"/>
        </w:rPr>
        <w:t>六、一般公共预算财政拨款基本支出决算表</w:t>
      </w:r>
      <w:r>
        <w:rPr>
          <w:rFonts w:ascii="仿宋_GB2312" w:cs="仿宋_GB2312"/>
          <w:szCs w:val="32"/>
        </w:rPr>
        <w:t xml:space="preserve"> </w:t>
      </w:r>
    </w:p>
    <w:p>
      <w:pPr>
        <w:kinsoku w:val="0"/>
        <w:overflowPunct w:val="0"/>
        <w:adjustRightInd w:val="0"/>
        <w:snapToGrid w:val="0"/>
        <w:spacing w:line="360" w:lineRule="auto"/>
        <w:ind w:firstLine="640"/>
        <w:jc w:val="left"/>
        <w:rPr>
          <w:rFonts w:ascii="仿宋_GB2312" w:cs="仿宋_GB2312"/>
          <w:szCs w:val="32"/>
        </w:rPr>
      </w:pPr>
      <w:r>
        <w:rPr>
          <w:rFonts w:hint="eastAsia" w:ascii="仿宋_GB2312" w:cs="仿宋_GB2312"/>
          <w:szCs w:val="32"/>
        </w:rPr>
        <w:t>七、一般公共预算财政拨款“三公”经费支出决算表</w:t>
      </w:r>
      <w:r>
        <w:rPr>
          <w:rFonts w:ascii="仿宋_GB2312" w:cs="仿宋_GB2312"/>
          <w:szCs w:val="32"/>
        </w:rPr>
        <w:t xml:space="preserve"> </w:t>
      </w:r>
    </w:p>
    <w:p>
      <w:pPr>
        <w:kinsoku w:val="0"/>
        <w:overflowPunct w:val="0"/>
        <w:adjustRightInd w:val="0"/>
        <w:snapToGrid w:val="0"/>
        <w:spacing w:line="360" w:lineRule="auto"/>
        <w:ind w:firstLine="640"/>
        <w:jc w:val="left"/>
        <w:rPr>
          <w:rFonts w:ascii="仿宋_GB2312" w:cs="仿宋_GB2312"/>
          <w:szCs w:val="32"/>
        </w:rPr>
      </w:pPr>
      <w:r>
        <w:rPr>
          <w:rFonts w:hint="eastAsia" w:ascii="仿宋_GB2312" w:cs="仿宋_GB2312"/>
          <w:szCs w:val="32"/>
        </w:rPr>
        <w:t>八、政府性基金预算财政拨款收入支出决算表</w:t>
      </w:r>
    </w:p>
    <w:p>
      <w:pPr>
        <w:kinsoku w:val="0"/>
        <w:overflowPunct w:val="0"/>
        <w:adjustRightInd w:val="0"/>
        <w:snapToGrid w:val="0"/>
        <w:spacing w:line="360" w:lineRule="auto"/>
        <w:ind w:firstLine="640"/>
        <w:rPr>
          <w:rFonts w:ascii="黑体" w:eastAsia="黑体" w:cs="黑体"/>
          <w:w w:val="99"/>
          <w:szCs w:val="32"/>
        </w:rPr>
      </w:pPr>
      <w:r>
        <w:rPr>
          <w:rFonts w:hint="eastAsia" w:ascii="黑体" w:eastAsia="黑体" w:cs="黑体"/>
          <w:szCs w:val="32"/>
        </w:rPr>
        <w:t>第三部分</w:t>
      </w:r>
      <w:r>
        <w:rPr>
          <w:rFonts w:ascii="黑体" w:eastAsia="黑体" w:cs="黑体"/>
          <w:spacing w:val="-38"/>
          <w:szCs w:val="32"/>
        </w:rPr>
        <w:t xml:space="preserve"> </w:t>
      </w:r>
      <w:r>
        <w:rPr>
          <w:rFonts w:ascii="黑体" w:eastAsia="黑体" w:cs="黑体"/>
          <w:szCs w:val="32"/>
        </w:rPr>
        <w:t>201</w:t>
      </w:r>
      <w:r>
        <w:rPr>
          <w:rFonts w:hint="eastAsia" w:ascii="黑体" w:eastAsia="黑体" w:cs="黑体"/>
          <w:szCs w:val="32"/>
          <w:lang w:val="en-US" w:eastAsia="zh-CN"/>
        </w:rPr>
        <w:t>7</w:t>
      </w:r>
      <w:r>
        <w:rPr>
          <w:rFonts w:ascii="黑体" w:eastAsia="黑体" w:cs="黑体"/>
          <w:spacing w:val="-119"/>
          <w:szCs w:val="32"/>
        </w:rPr>
        <w:t xml:space="preserve"> </w:t>
      </w:r>
      <w:r>
        <w:rPr>
          <w:rFonts w:hint="eastAsia" w:ascii="黑体" w:eastAsia="黑体" w:cs="黑体"/>
          <w:szCs w:val="32"/>
        </w:rPr>
        <w:t>年度部门决算情况说明</w:t>
      </w:r>
      <w:r>
        <w:rPr>
          <w:rFonts w:ascii="黑体" w:eastAsia="黑体" w:cs="黑体"/>
          <w:w w:val="99"/>
          <w:szCs w:val="32"/>
        </w:rPr>
        <w:t xml:space="preserve"> </w:t>
      </w:r>
    </w:p>
    <w:p>
      <w:pPr>
        <w:kinsoku w:val="0"/>
        <w:overflowPunct w:val="0"/>
        <w:adjustRightInd w:val="0"/>
        <w:snapToGrid w:val="0"/>
        <w:spacing w:line="360" w:lineRule="auto"/>
        <w:ind w:firstLine="640"/>
        <w:rPr>
          <w:rFonts w:ascii="黑体" w:eastAsia="黑体" w:cs="黑体"/>
          <w:szCs w:val="32"/>
        </w:rPr>
      </w:pPr>
      <w:r>
        <w:rPr>
          <w:rFonts w:hint="eastAsia" w:ascii="黑体" w:eastAsia="黑体" w:cs="黑体"/>
          <w:szCs w:val="32"/>
        </w:rPr>
        <w:t>第四部分</w:t>
      </w:r>
      <w:r>
        <w:rPr>
          <w:rFonts w:ascii="黑体" w:eastAsia="黑体" w:cs="黑体"/>
          <w:spacing w:val="-32"/>
          <w:szCs w:val="32"/>
        </w:rPr>
        <w:t xml:space="preserve"> </w:t>
      </w:r>
      <w:r>
        <w:rPr>
          <w:rFonts w:hint="eastAsia" w:ascii="黑体" w:eastAsia="黑体" w:cs="黑体"/>
          <w:szCs w:val="32"/>
        </w:rPr>
        <w:t>名词解释</w:t>
      </w:r>
    </w:p>
    <w:p>
      <w:pPr>
        <w:kinsoku w:val="0"/>
        <w:overflowPunct w:val="0"/>
        <w:adjustRightInd w:val="0"/>
        <w:snapToGrid w:val="0"/>
        <w:spacing w:line="360" w:lineRule="auto"/>
        <w:ind w:firstLine="640"/>
        <w:rPr>
          <w:rFonts w:ascii="黑体" w:eastAsia="黑体" w:cs="黑体"/>
          <w:szCs w:val="32"/>
        </w:rPr>
      </w:pPr>
    </w:p>
    <w:p>
      <w:pPr>
        <w:adjustRightInd w:val="0"/>
        <w:snapToGrid w:val="0"/>
        <w:spacing w:line="360" w:lineRule="auto"/>
        <w:ind w:firstLine="640"/>
        <w:jc w:val="center"/>
        <w:rPr>
          <w:rFonts w:hint="eastAsia" w:ascii="黑体" w:hAnsi="黑体" w:eastAsia="黑体"/>
          <w:szCs w:val="32"/>
        </w:rPr>
      </w:pPr>
    </w:p>
    <w:p>
      <w:pPr>
        <w:adjustRightInd w:val="0"/>
        <w:snapToGrid w:val="0"/>
        <w:spacing w:line="360" w:lineRule="auto"/>
        <w:ind w:firstLine="640"/>
        <w:jc w:val="center"/>
        <w:rPr>
          <w:rFonts w:hint="eastAsia" w:ascii="黑体" w:hAnsi="黑体" w:eastAsia="黑体"/>
          <w:szCs w:val="32"/>
        </w:rPr>
      </w:pPr>
    </w:p>
    <w:p>
      <w:pPr>
        <w:adjustRightInd w:val="0"/>
        <w:snapToGrid w:val="0"/>
        <w:spacing w:line="360" w:lineRule="auto"/>
        <w:ind w:firstLine="640"/>
        <w:jc w:val="center"/>
        <w:rPr>
          <w:rFonts w:hint="eastAsia" w:ascii="黑体" w:hAnsi="黑体" w:eastAsia="黑体"/>
          <w:szCs w:val="32"/>
        </w:rPr>
      </w:pPr>
    </w:p>
    <w:p>
      <w:pPr>
        <w:adjustRightInd w:val="0"/>
        <w:snapToGrid w:val="0"/>
        <w:spacing w:line="360" w:lineRule="auto"/>
        <w:ind w:firstLine="640"/>
        <w:jc w:val="center"/>
        <w:rPr>
          <w:rFonts w:ascii="黑体" w:hAnsi="黑体" w:eastAsia="黑体"/>
          <w:szCs w:val="32"/>
        </w:rPr>
      </w:pPr>
    </w:p>
    <w:p>
      <w:pPr>
        <w:adjustRightInd w:val="0"/>
        <w:snapToGrid w:val="0"/>
        <w:spacing w:line="360" w:lineRule="auto"/>
        <w:ind w:firstLine="640"/>
        <w:jc w:val="center"/>
        <w:rPr>
          <w:rFonts w:ascii="黑体" w:hAnsi="黑体" w:eastAsia="黑体"/>
          <w:szCs w:val="32"/>
        </w:rPr>
      </w:pPr>
    </w:p>
    <w:p>
      <w:pPr>
        <w:adjustRightInd w:val="0"/>
        <w:snapToGrid w:val="0"/>
        <w:spacing w:line="360" w:lineRule="auto"/>
        <w:ind w:firstLine="0" w:firstLineChars="0"/>
        <w:jc w:val="center"/>
        <w:rPr>
          <w:rFonts w:ascii="黑体" w:hAnsi="黑体" w:eastAsia="黑体"/>
          <w:szCs w:val="32"/>
        </w:rPr>
      </w:pPr>
      <w:r>
        <w:rPr>
          <w:rFonts w:hint="eastAsia" w:ascii="黑体" w:hAnsi="黑体" w:eastAsia="黑体"/>
          <w:szCs w:val="32"/>
        </w:rPr>
        <w:t>第一部分　</w:t>
      </w:r>
      <w:r>
        <w:rPr>
          <w:rFonts w:hint="eastAsia" w:ascii="黑体" w:hAnsi="黑体" w:eastAsia="黑体"/>
          <w:szCs w:val="32"/>
          <w:lang w:eastAsia="zh-CN"/>
        </w:rPr>
        <w:t>安阳市残疾人就业中心</w:t>
      </w:r>
      <w:r>
        <w:rPr>
          <w:rFonts w:hint="eastAsia" w:ascii="黑体" w:hAnsi="黑体" w:eastAsia="黑体"/>
          <w:szCs w:val="32"/>
        </w:rPr>
        <w:t>概况</w:t>
      </w:r>
    </w:p>
    <w:p>
      <w:pPr>
        <w:numPr>
          <w:ilvl w:val="0"/>
          <w:numId w:val="1"/>
        </w:numPr>
        <w:adjustRightInd w:val="0"/>
        <w:snapToGrid w:val="0"/>
        <w:spacing w:line="360" w:lineRule="auto"/>
        <w:rPr>
          <w:rFonts w:hint="eastAsia" w:ascii="黑体" w:hAnsi="黑体" w:eastAsia="黑体"/>
          <w:szCs w:val="32"/>
        </w:rPr>
      </w:pPr>
      <w:r>
        <w:rPr>
          <w:rFonts w:hint="eastAsia" w:ascii="黑体" w:hAnsi="黑体" w:eastAsia="黑体"/>
          <w:szCs w:val="32"/>
          <w:lang w:eastAsia="zh-CN"/>
        </w:rPr>
        <w:t>安阳市残疾人就业中心</w:t>
      </w:r>
      <w:r>
        <w:rPr>
          <w:rFonts w:hint="eastAsia" w:ascii="黑体" w:hAnsi="黑体" w:eastAsia="黑体"/>
          <w:szCs w:val="32"/>
        </w:rPr>
        <w:t>主要职责</w:t>
      </w:r>
    </w:p>
    <w:p>
      <w:pPr>
        <w:ind w:firstLine="640" w:firstLineChars="200"/>
        <w:rPr>
          <w:rFonts w:hint="eastAsia" w:ascii="黑体" w:hAnsi="黑体" w:eastAsia="黑体"/>
          <w:szCs w:val="32"/>
        </w:rPr>
      </w:pPr>
      <w:r>
        <w:rPr>
          <w:rFonts w:hint="eastAsia" w:ascii="仿宋_GB2312" w:hAnsi="仿宋_GB2312" w:eastAsia="仿宋_GB2312" w:cs="仿宋_GB2312"/>
          <w:sz w:val="32"/>
          <w:szCs w:val="32"/>
        </w:rPr>
        <w:t>安阳市残疾人就业服务中心（以下简称为中心）隶属安阳市残疾人联合会，成立于1999年7月，正科级全供事业单位，</w:t>
      </w:r>
      <w:r>
        <w:rPr>
          <w:rFonts w:hint="eastAsia" w:ascii="仿宋_GB2312" w:eastAsia="仿宋_GB2312"/>
          <w:sz w:val="32"/>
          <w:szCs w:val="32"/>
        </w:rPr>
        <w:t>经费实行全额预算管理，编制3人，实有1人，</w:t>
      </w:r>
      <w:r>
        <w:rPr>
          <w:rFonts w:hint="eastAsia" w:ascii="仿宋_GB2312" w:hAnsi="仿宋_GB2312" w:eastAsia="仿宋_GB2312" w:cs="仿宋_GB2312"/>
          <w:color w:val="000000"/>
          <w:sz w:val="32"/>
          <w:szCs w:val="32"/>
          <w:shd w:val="clear" w:color="auto" w:fill="FFFFFF"/>
        </w:rPr>
        <w:t>是为残疾人就业提供全方位服务的专门机构，是劳动就业服务体系的组成部分，具体组织实施残疾人培训就业工作和承担按比例安排残疾人就业的行政执法职能。市就业中心在同级劳动和社会保障部门的指导下进行残疾人劳动力资源和社会用工调查；开展残疾人求职登记、劳动能力评估；接受政府职能部门的委托办理残疾人失业登记；开展残疾人职业技能培训、就业咨询、职业介绍；组织实施残疾人按比例就业，收缴和管理残疾人就业保障金；帮助残疾人个体就业或自愿组织起来就业；对全市盲人按摩工作进行行业管理；对全市残疾人培训就业工作和就业服务机构建设进行指导；受理上级部门交办的其他工作。</w:t>
      </w:r>
    </w:p>
    <w:p>
      <w:pPr>
        <w:adjustRightInd w:val="0"/>
        <w:snapToGrid w:val="0"/>
        <w:spacing w:line="360" w:lineRule="auto"/>
        <w:ind w:firstLine="640"/>
        <w:rPr>
          <w:rFonts w:ascii="黑体" w:hAnsi="黑体" w:eastAsia="黑体"/>
          <w:szCs w:val="32"/>
        </w:rPr>
      </w:pPr>
      <w:r>
        <w:rPr>
          <w:rFonts w:hint="eastAsia" w:ascii="黑体" w:hAnsi="黑体" w:eastAsia="黑体"/>
          <w:szCs w:val="32"/>
        </w:rPr>
        <w:t>二、</w:t>
      </w:r>
      <w:r>
        <w:rPr>
          <w:rFonts w:hint="eastAsia" w:ascii="黑体" w:hAnsi="黑体" w:eastAsia="黑体"/>
          <w:szCs w:val="32"/>
          <w:lang w:eastAsia="zh-CN"/>
        </w:rPr>
        <w:t>安阳市残疾人就业中心</w:t>
      </w:r>
      <w:r>
        <w:rPr>
          <w:rFonts w:hint="eastAsia" w:ascii="黑体" w:hAnsi="黑体" w:eastAsia="黑体"/>
          <w:szCs w:val="32"/>
        </w:rPr>
        <w:t>决算单位构成</w:t>
      </w:r>
    </w:p>
    <w:p>
      <w:pPr>
        <w:pStyle w:val="2"/>
        <w:kinsoku w:val="0"/>
        <w:overflowPunct w:val="0"/>
        <w:snapToGrid w:val="0"/>
        <w:spacing w:line="360" w:lineRule="auto"/>
        <w:ind w:left="0" w:firstLine="640" w:firstLineChars="200"/>
        <w:rPr>
          <w:sz w:val="15"/>
          <w:szCs w:val="15"/>
        </w:rPr>
      </w:pPr>
      <w:r>
        <w:rPr>
          <w:rFonts w:hint="eastAsia" w:ascii="仿宋_GB2312" w:hAnsi="仿宋_GB2312" w:eastAsia="仿宋_GB2312" w:cs="仿宋_GB2312"/>
          <w:b w:val="0"/>
          <w:bCs w:val="0"/>
          <w:szCs w:val="32"/>
          <w:lang w:eastAsia="zh-CN"/>
        </w:rPr>
        <w:t>安阳市残疾人就业中心</w:t>
      </w:r>
      <w:r>
        <w:rPr>
          <w:rFonts w:hint="eastAsia"/>
          <w:spacing w:val="2"/>
        </w:rPr>
        <w:t>部门</w:t>
      </w:r>
      <w:r>
        <w:rPr>
          <w:rFonts w:hint="eastAsia"/>
        </w:rPr>
        <w:t>决</w:t>
      </w:r>
      <w:r>
        <w:rPr>
          <w:rFonts w:hint="eastAsia"/>
          <w:spacing w:val="2"/>
        </w:rPr>
        <w:t>算包括本级</w:t>
      </w:r>
      <w:r>
        <w:rPr>
          <w:rFonts w:hint="eastAsia"/>
          <w:spacing w:val="-1"/>
        </w:rPr>
        <w:t>决算</w:t>
      </w:r>
    </w:p>
    <w:p>
      <w:pPr>
        <w:pStyle w:val="2"/>
        <w:kinsoku w:val="0"/>
        <w:overflowPunct w:val="0"/>
        <w:snapToGrid w:val="0"/>
        <w:spacing w:line="360" w:lineRule="auto"/>
        <w:ind w:left="0" w:firstLine="636" w:firstLineChars="200"/>
      </w:pPr>
      <w:r>
        <w:rPr>
          <w:spacing w:val="-1"/>
        </w:rPr>
        <w:t>1.</w:t>
      </w:r>
      <w:r>
        <w:rPr>
          <w:rFonts w:hint="eastAsia" w:ascii="仿宋_GB2312" w:hAnsi="仿宋_GB2312" w:eastAsia="仿宋_GB2312" w:cs="仿宋_GB2312"/>
          <w:szCs w:val="32"/>
          <w:lang w:eastAsia="zh-CN"/>
        </w:rPr>
        <w:t>安阳市残疾人就业中心</w:t>
      </w:r>
      <w:r>
        <w:rPr>
          <w:rFonts w:hint="eastAsia"/>
          <w:spacing w:val="-1"/>
        </w:rPr>
        <w:t>本级</w:t>
      </w:r>
    </w:p>
    <w:p>
      <w:pPr>
        <w:adjustRightInd w:val="0"/>
        <w:snapToGrid w:val="0"/>
        <w:spacing w:line="360" w:lineRule="auto"/>
        <w:ind w:firstLine="640"/>
        <w:jc w:val="center"/>
        <w:rPr>
          <w:rFonts w:ascii="黑体" w:hAnsi="黑体" w:eastAsia="黑体"/>
          <w:szCs w:val="32"/>
        </w:rPr>
      </w:pPr>
    </w:p>
    <w:p>
      <w:pPr>
        <w:kinsoku w:val="0"/>
        <w:overflowPunct w:val="0"/>
        <w:adjustRightInd w:val="0"/>
        <w:snapToGrid w:val="0"/>
        <w:spacing w:line="360" w:lineRule="auto"/>
        <w:ind w:firstLine="640"/>
        <w:rPr>
          <w:rFonts w:hint="eastAsia" w:ascii="黑体" w:eastAsia="黑体" w:cs="黑体"/>
          <w:szCs w:val="32"/>
        </w:rPr>
      </w:pPr>
      <w:r>
        <w:rPr>
          <w:rFonts w:hint="eastAsia" w:ascii="黑体" w:eastAsia="黑体" w:cs="黑体"/>
          <w:szCs w:val="32"/>
        </w:rPr>
        <w:t>第二部分</w:t>
      </w:r>
      <w:r>
        <w:rPr>
          <w:rFonts w:ascii="黑体" w:eastAsia="黑体" w:cs="黑体"/>
          <w:spacing w:val="-32"/>
          <w:szCs w:val="32"/>
        </w:rPr>
        <w:t xml:space="preserve"> </w:t>
      </w:r>
      <w:r>
        <w:rPr>
          <w:rFonts w:hint="eastAsia" w:ascii="黑体" w:hAnsi="黑体" w:eastAsia="黑体"/>
          <w:szCs w:val="32"/>
          <w:lang w:eastAsia="zh-CN"/>
        </w:rPr>
        <w:t>安阳市残疾人就业中心</w:t>
      </w:r>
      <w:r>
        <w:rPr>
          <w:rFonts w:hint="eastAsia" w:ascii="黑体" w:hAnsi="黑体" w:eastAsia="黑体"/>
          <w:szCs w:val="32"/>
        </w:rPr>
        <w:t>2</w:t>
      </w:r>
      <w:r>
        <w:rPr>
          <w:rFonts w:ascii="黑体" w:eastAsia="黑体" w:cs="黑体"/>
          <w:szCs w:val="32"/>
        </w:rPr>
        <w:t>01</w:t>
      </w:r>
      <w:r>
        <w:rPr>
          <w:rFonts w:hint="eastAsia" w:ascii="黑体" w:eastAsia="黑体" w:cs="黑体"/>
          <w:szCs w:val="32"/>
          <w:lang w:val="en-US" w:eastAsia="zh-CN"/>
        </w:rPr>
        <w:t>7</w:t>
      </w:r>
      <w:r>
        <w:rPr>
          <w:rFonts w:hint="eastAsia" w:ascii="黑体" w:eastAsia="黑体" w:cs="黑体"/>
          <w:szCs w:val="32"/>
        </w:rPr>
        <w:t>年度部门决算表</w:t>
      </w:r>
    </w:p>
    <w:p>
      <w:pPr>
        <w:kinsoku w:val="0"/>
        <w:overflowPunct w:val="0"/>
        <w:adjustRightInd w:val="0"/>
        <w:snapToGrid w:val="0"/>
        <w:spacing w:line="360" w:lineRule="auto"/>
        <w:ind w:firstLine="640"/>
        <w:rPr>
          <w:rFonts w:hint="eastAsia" w:ascii="黑体" w:eastAsia="黑体" w:cs="黑体"/>
          <w:szCs w:val="32"/>
        </w:rPr>
      </w:pPr>
    </w:p>
    <w:p>
      <w:pPr>
        <w:kinsoku w:val="0"/>
        <w:overflowPunct w:val="0"/>
        <w:adjustRightInd w:val="0"/>
        <w:snapToGrid w:val="0"/>
        <w:spacing w:line="360" w:lineRule="auto"/>
        <w:ind w:firstLine="640"/>
        <w:rPr>
          <w:rFonts w:hint="eastAsia" w:ascii="黑体" w:eastAsia="黑体" w:cs="黑体"/>
          <w:szCs w:val="32"/>
        </w:rPr>
      </w:pPr>
    </w:p>
    <w:p>
      <w:pPr>
        <w:kinsoku w:val="0"/>
        <w:overflowPunct w:val="0"/>
        <w:adjustRightInd w:val="0"/>
        <w:snapToGrid w:val="0"/>
        <w:spacing w:line="360" w:lineRule="auto"/>
        <w:ind w:firstLine="640"/>
        <w:rPr>
          <w:rFonts w:hint="eastAsia" w:ascii="黑体" w:eastAsia="黑体" w:cs="黑体"/>
          <w:szCs w:val="32"/>
        </w:rPr>
      </w:pPr>
    </w:p>
    <w:p>
      <w:pPr>
        <w:kinsoku w:val="0"/>
        <w:overflowPunct w:val="0"/>
        <w:adjustRightInd w:val="0"/>
        <w:snapToGrid w:val="0"/>
        <w:spacing w:line="360" w:lineRule="auto"/>
        <w:ind w:firstLine="640"/>
        <w:rPr>
          <w:rFonts w:hint="eastAsia" w:ascii="黑体" w:eastAsia="黑体" w:cs="黑体"/>
          <w:szCs w:val="32"/>
        </w:rPr>
      </w:pPr>
      <w:r>
        <w:rPr>
          <w:rFonts w:hint="eastAsia" w:ascii="黑体" w:eastAsia="黑体" w:cs="黑体"/>
          <w:szCs w:val="32"/>
          <w:lang w:eastAsia="zh-CN"/>
        </w:rPr>
        <w:drawing>
          <wp:anchor distT="0" distB="0" distL="114300" distR="114300" simplePos="0" relativeHeight="251659264" behindDoc="0" locked="0" layoutInCell="1" allowOverlap="1">
            <wp:simplePos x="0" y="0"/>
            <wp:positionH relativeFrom="column">
              <wp:posOffset>-290195</wp:posOffset>
            </wp:positionH>
            <wp:positionV relativeFrom="paragraph">
              <wp:posOffset>5516245</wp:posOffset>
            </wp:positionV>
            <wp:extent cx="5855335" cy="2056765"/>
            <wp:effectExtent l="0" t="0" r="12065" b="635"/>
            <wp:wrapSquare wrapText="bothSides"/>
            <wp:docPr id="3" name="图片 3"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2"/>
                    <pic:cNvPicPr>
                      <a:picLocks noChangeAspect="1"/>
                    </pic:cNvPicPr>
                  </pic:nvPicPr>
                  <pic:blipFill>
                    <a:blip r:embed="rId4"/>
                    <a:stretch>
                      <a:fillRect/>
                    </a:stretch>
                  </pic:blipFill>
                  <pic:spPr>
                    <a:xfrm>
                      <a:off x="0" y="0"/>
                      <a:ext cx="5855335" cy="2056765"/>
                    </a:xfrm>
                    <a:prstGeom prst="rect">
                      <a:avLst/>
                    </a:prstGeom>
                  </pic:spPr>
                </pic:pic>
              </a:graphicData>
            </a:graphic>
          </wp:anchor>
        </w:drawing>
      </w:r>
      <w:r>
        <w:rPr>
          <w:rFonts w:hint="eastAsia" w:ascii="黑体" w:eastAsia="黑体" w:cs="黑体"/>
          <w:szCs w:val="32"/>
          <w:lang w:eastAsia="zh-CN"/>
        </w:rPr>
        <w:drawing>
          <wp:anchor distT="0" distB="0" distL="114300" distR="114300" simplePos="0" relativeHeight="251658240" behindDoc="0" locked="0" layoutInCell="1" allowOverlap="1">
            <wp:simplePos x="0" y="0"/>
            <wp:positionH relativeFrom="column">
              <wp:posOffset>-288290</wp:posOffset>
            </wp:positionH>
            <wp:positionV relativeFrom="paragraph">
              <wp:posOffset>0</wp:posOffset>
            </wp:positionV>
            <wp:extent cx="5850890" cy="5303520"/>
            <wp:effectExtent l="0" t="0" r="1270" b="0"/>
            <wp:wrapSquare wrapText="bothSides"/>
            <wp:docPr id="2" name="图片 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1"/>
                    <pic:cNvPicPr>
                      <a:picLocks noChangeAspect="1"/>
                    </pic:cNvPicPr>
                  </pic:nvPicPr>
                  <pic:blipFill>
                    <a:blip r:embed="rId5"/>
                    <a:stretch>
                      <a:fillRect/>
                    </a:stretch>
                  </pic:blipFill>
                  <pic:spPr>
                    <a:xfrm>
                      <a:off x="0" y="0"/>
                      <a:ext cx="5850890" cy="5303520"/>
                    </a:xfrm>
                    <a:prstGeom prst="rect">
                      <a:avLst/>
                    </a:prstGeom>
                  </pic:spPr>
                </pic:pic>
              </a:graphicData>
            </a:graphic>
          </wp:anchor>
        </w:drawing>
      </w:r>
    </w:p>
    <w:p>
      <w:pPr>
        <w:kinsoku w:val="0"/>
        <w:overflowPunct w:val="0"/>
        <w:adjustRightInd w:val="0"/>
        <w:snapToGrid w:val="0"/>
        <w:spacing w:line="360" w:lineRule="auto"/>
        <w:ind w:firstLine="640"/>
        <w:rPr>
          <w:rFonts w:hint="eastAsia" w:ascii="黑体" w:eastAsia="黑体" w:cs="黑体"/>
          <w:szCs w:val="32"/>
          <w:lang w:eastAsia="zh-CN"/>
        </w:rPr>
      </w:pPr>
    </w:p>
    <w:p>
      <w:pPr>
        <w:kinsoku w:val="0"/>
        <w:overflowPunct w:val="0"/>
        <w:adjustRightInd w:val="0"/>
        <w:snapToGrid w:val="0"/>
        <w:spacing w:line="360" w:lineRule="auto"/>
        <w:ind w:firstLine="640"/>
        <w:rPr>
          <w:rFonts w:hint="eastAsia" w:ascii="黑体" w:eastAsia="黑体" w:cs="黑体"/>
          <w:szCs w:val="32"/>
        </w:rPr>
      </w:pPr>
    </w:p>
    <w:p>
      <w:pPr>
        <w:kinsoku w:val="0"/>
        <w:overflowPunct w:val="0"/>
        <w:adjustRightInd w:val="0"/>
        <w:snapToGrid w:val="0"/>
        <w:spacing w:line="360" w:lineRule="auto"/>
        <w:ind w:firstLine="640"/>
        <w:rPr>
          <w:rFonts w:hint="eastAsia" w:ascii="黑体" w:eastAsia="黑体" w:cs="黑体"/>
          <w:szCs w:val="32"/>
        </w:rPr>
      </w:pPr>
      <w:r>
        <w:rPr>
          <w:rFonts w:hint="eastAsia" w:ascii="黑体" w:eastAsia="黑体" w:cs="黑体"/>
          <w:szCs w:val="32"/>
          <w:lang w:eastAsia="zh-CN"/>
        </w:rPr>
        <w:drawing>
          <wp:anchor distT="0" distB="0" distL="114300" distR="114300" simplePos="0" relativeHeight="251663360" behindDoc="0" locked="0" layoutInCell="1" allowOverlap="1">
            <wp:simplePos x="0" y="0"/>
            <wp:positionH relativeFrom="column">
              <wp:posOffset>-375920</wp:posOffset>
            </wp:positionH>
            <wp:positionV relativeFrom="paragraph">
              <wp:posOffset>2776855</wp:posOffset>
            </wp:positionV>
            <wp:extent cx="6026150" cy="4607560"/>
            <wp:effectExtent l="0" t="0" r="8890" b="10160"/>
            <wp:wrapSquare wrapText="bothSides"/>
            <wp:docPr id="5" name="图片 5"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4"/>
                    <pic:cNvPicPr>
                      <a:picLocks noChangeAspect="1"/>
                    </pic:cNvPicPr>
                  </pic:nvPicPr>
                  <pic:blipFill>
                    <a:blip r:embed="rId6"/>
                    <a:stretch>
                      <a:fillRect/>
                    </a:stretch>
                  </pic:blipFill>
                  <pic:spPr>
                    <a:xfrm>
                      <a:off x="0" y="0"/>
                      <a:ext cx="6026150" cy="4607560"/>
                    </a:xfrm>
                    <a:prstGeom prst="rect">
                      <a:avLst/>
                    </a:prstGeom>
                  </pic:spPr>
                </pic:pic>
              </a:graphicData>
            </a:graphic>
          </wp:anchor>
        </w:drawing>
      </w:r>
      <w:r>
        <w:rPr>
          <w:rFonts w:hint="eastAsia" w:ascii="黑体" w:eastAsia="黑体" w:cs="黑体"/>
          <w:szCs w:val="32"/>
          <w:lang w:eastAsia="zh-CN"/>
        </w:rPr>
        <w:drawing>
          <wp:anchor distT="0" distB="0" distL="114300" distR="114300" simplePos="0" relativeHeight="251662336" behindDoc="0" locked="0" layoutInCell="1" allowOverlap="1">
            <wp:simplePos x="0" y="0"/>
            <wp:positionH relativeFrom="column">
              <wp:posOffset>-370840</wp:posOffset>
            </wp:positionH>
            <wp:positionV relativeFrom="paragraph">
              <wp:posOffset>0</wp:posOffset>
            </wp:positionV>
            <wp:extent cx="6015990" cy="2325370"/>
            <wp:effectExtent l="0" t="0" r="3810" b="6350"/>
            <wp:wrapSquare wrapText="bothSides"/>
            <wp:docPr id="4" name="图片 4"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3"/>
                    <pic:cNvPicPr>
                      <a:picLocks noChangeAspect="1"/>
                    </pic:cNvPicPr>
                  </pic:nvPicPr>
                  <pic:blipFill>
                    <a:blip r:embed="rId7"/>
                    <a:stretch>
                      <a:fillRect/>
                    </a:stretch>
                  </pic:blipFill>
                  <pic:spPr>
                    <a:xfrm>
                      <a:off x="0" y="0"/>
                      <a:ext cx="6015990" cy="2325370"/>
                    </a:xfrm>
                    <a:prstGeom prst="rect">
                      <a:avLst/>
                    </a:prstGeom>
                  </pic:spPr>
                </pic:pic>
              </a:graphicData>
            </a:graphic>
          </wp:anchor>
        </w:drawing>
      </w:r>
    </w:p>
    <w:p>
      <w:pPr>
        <w:kinsoku w:val="0"/>
        <w:overflowPunct w:val="0"/>
        <w:adjustRightInd w:val="0"/>
        <w:snapToGrid w:val="0"/>
        <w:spacing w:line="360" w:lineRule="auto"/>
        <w:ind w:firstLine="640"/>
        <w:rPr>
          <w:rFonts w:hint="eastAsia" w:ascii="黑体" w:eastAsia="黑体" w:cs="黑体"/>
          <w:szCs w:val="32"/>
          <w:lang w:eastAsia="zh-CN"/>
        </w:rPr>
      </w:pPr>
    </w:p>
    <w:p>
      <w:pPr>
        <w:kinsoku w:val="0"/>
        <w:overflowPunct w:val="0"/>
        <w:adjustRightInd w:val="0"/>
        <w:snapToGrid w:val="0"/>
        <w:spacing w:line="360" w:lineRule="auto"/>
        <w:ind w:firstLine="640"/>
        <w:rPr>
          <w:rFonts w:hint="eastAsia" w:ascii="黑体" w:eastAsia="黑体" w:cs="黑体"/>
          <w:szCs w:val="32"/>
        </w:rPr>
      </w:pPr>
    </w:p>
    <w:p>
      <w:pPr>
        <w:kinsoku w:val="0"/>
        <w:overflowPunct w:val="0"/>
        <w:adjustRightInd w:val="0"/>
        <w:snapToGrid w:val="0"/>
        <w:spacing w:line="360" w:lineRule="auto"/>
        <w:ind w:firstLine="640"/>
        <w:rPr>
          <w:rFonts w:hint="eastAsia" w:ascii="黑体" w:eastAsia="黑体" w:cs="黑体"/>
          <w:szCs w:val="32"/>
        </w:rPr>
      </w:pPr>
    </w:p>
    <w:p>
      <w:pPr>
        <w:kinsoku w:val="0"/>
        <w:overflowPunct w:val="0"/>
        <w:adjustRightInd w:val="0"/>
        <w:snapToGrid w:val="0"/>
        <w:spacing w:line="360" w:lineRule="auto"/>
        <w:ind w:firstLine="640"/>
        <w:rPr>
          <w:rFonts w:hint="eastAsia" w:ascii="黑体" w:eastAsia="黑体" w:cs="黑体"/>
          <w:szCs w:val="32"/>
        </w:rPr>
      </w:pPr>
    </w:p>
    <w:p>
      <w:pPr>
        <w:kinsoku w:val="0"/>
        <w:overflowPunct w:val="0"/>
        <w:adjustRightInd w:val="0"/>
        <w:snapToGrid w:val="0"/>
        <w:spacing w:line="360" w:lineRule="auto"/>
        <w:ind w:firstLine="640"/>
        <w:rPr>
          <w:rFonts w:hint="eastAsia" w:ascii="黑体" w:eastAsia="黑体" w:cs="黑体"/>
          <w:szCs w:val="32"/>
          <w:lang w:eastAsia="zh-CN"/>
        </w:rPr>
      </w:pPr>
      <w:r>
        <w:rPr>
          <w:rFonts w:hint="eastAsia" w:ascii="黑体" w:eastAsia="黑体" w:cs="黑体"/>
          <w:szCs w:val="32"/>
          <w:lang w:eastAsia="zh-CN"/>
        </w:rPr>
        <w:drawing>
          <wp:anchor distT="0" distB="0" distL="114300" distR="114300" simplePos="0" relativeHeight="251664384" behindDoc="0" locked="0" layoutInCell="1" allowOverlap="1">
            <wp:simplePos x="0" y="0"/>
            <wp:positionH relativeFrom="column">
              <wp:posOffset>-459105</wp:posOffset>
            </wp:positionH>
            <wp:positionV relativeFrom="paragraph">
              <wp:posOffset>0</wp:posOffset>
            </wp:positionV>
            <wp:extent cx="6191885" cy="3152775"/>
            <wp:effectExtent l="0" t="0" r="10795" b="1905"/>
            <wp:wrapSquare wrapText="bothSides"/>
            <wp:docPr id="6" name="图片 6"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05"/>
                    <pic:cNvPicPr>
                      <a:picLocks noChangeAspect="1"/>
                    </pic:cNvPicPr>
                  </pic:nvPicPr>
                  <pic:blipFill>
                    <a:blip r:embed="rId8"/>
                    <a:stretch>
                      <a:fillRect/>
                    </a:stretch>
                  </pic:blipFill>
                  <pic:spPr>
                    <a:xfrm>
                      <a:off x="0" y="0"/>
                      <a:ext cx="6191885" cy="3152775"/>
                    </a:xfrm>
                    <a:prstGeom prst="rect">
                      <a:avLst/>
                    </a:prstGeom>
                  </pic:spPr>
                </pic:pic>
              </a:graphicData>
            </a:graphic>
          </wp:anchor>
        </w:drawing>
      </w:r>
    </w:p>
    <w:p>
      <w:pPr>
        <w:kinsoku w:val="0"/>
        <w:overflowPunct w:val="0"/>
        <w:adjustRightInd w:val="0"/>
        <w:snapToGrid w:val="0"/>
        <w:spacing w:line="360" w:lineRule="auto"/>
        <w:ind w:firstLine="640"/>
        <w:rPr>
          <w:rFonts w:hint="eastAsia" w:ascii="黑体" w:eastAsia="黑体" w:cs="黑体"/>
          <w:szCs w:val="32"/>
          <w:lang w:eastAsia="zh-CN"/>
        </w:rPr>
      </w:pPr>
      <w:r>
        <w:rPr>
          <w:rFonts w:hint="eastAsia" w:ascii="黑体" w:eastAsia="黑体" w:cs="黑体"/>
          <w:szCs w:val="32"/>
          <w:lang w:eastAsia="zh-CN"/>
        </w:rPr>
        <w:drawing>
          <wp:anchor distT="0" distB="0" distL="114300" distR="114300" simplePos="0" relativeHeight="251665408" behindDoc="0" locked="0" layoutInCell="1" allowOverlap="1">
            <wp:simplePos x="0" y="0"/>
            <wp:positionH relativeFrom="column">
              <wp:posOffset>-487045</wp:posOffset>
            </wp:positionH>
            <wp:positionV relativeFrom="paragraph">
              <wp:posOffset>264795</wp:posOffset>
            </wp:positionV>
            <wp:extent cx="6249035" cy="3928110"/>
            <wp:effectExtent l="0" t="0" r="14605" b="3810"/>
            <wp:wrapSquare wrapText="bothSides"/>
            <wp:docPr id="7" name="图片 7" desc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06"/>
                    <pic:cNvPicPr>
                      <a:picLocks noChangeAspect="1"/>
                    </pic:cNvPicPr>
                  </pic:nvPicPr>
                  <pic:blipFill>
                    <a:blip r:embed="rId9"/>
                    <a:stretch>
                      <a:fillRect/>
                    </a:stretch>
                  </pic:blipFill>
                  <pic:spPr>
                    <a:xfrm>
                      <a:off x="0" y="0"/>
                      <a:ext cx="6249035" cy="3928110"/>
                    </a:xfrm>
                    <a:prstGeom prst="rect">
                      <a:avLst/>
                    </a:prstGeom>
                  </pic:spPr>
                </pic:pic>
              </a:graphicData>
            </a:graphic>
          </wp:anchor>
        </w:drawing>
      </w:r>
    </w:p>
    <w:p>
      <w:pPr>
        <w:spacing w:beforeLines="0" w:afterLines="0"/>
        <w:jc w:val="center"/>
        <w:rPr>
          <w:rFonts w:hint="eastAsia" w:ascii="黑体" w:hAnsi="黑体" w:eastAsia="黑体"/>
          <w:sz w:val="48"/>
        </w:rPr>
      </w:pPr>
    </w:p>
    <w:p>
      <w:pPr>
        <w:spacing w:beforeLines="0" w:afterLines="0"/>
        <w:jc w:val="center"/>
        <w:rPr>
          <w:rFonts w:hint="default" w:ascii="Times New Roman" w:hAnsi="Times New Roman" w:eastAsia="Times New Roman"/>
          <w:sz w:val="48"/>
        </w:rPr>
      </w:pPr>
      <w:r>
        <w:rPr>
          <w:rFonts w:hint="eastAsia" w:ascii="黑体" w:hAnsi="黑体" w:eastAsia="黑体"/>
          <w:sz w:val="48"/>
        </w:rPr>
        <w:t>第三部分</w:t>
      </w:r>
    </w:p>
    <w:p>
      <w:pPr>
        <w:spacing w:beforeLines="0" w:afterLines="0"/>
        <w:jc w:val="center"/>
        <w:rPr>
          <w:rFonts w:hint="default" w:ascii="Times New Roman" w:hAnsi="Times New Roman" w:eastAsia="Times New Roman"/>
          <w:sz w:val="48"/>
        </w:rPr>
      </w:pPr>
      <w:r>
        <w:rPr>
          <w:rFonts w:hint="eastAsia" w:ascii="黑体" w:hAnsi="黑体" w:eastAsia="黑体"/>
          <w:sz w:val="48"/>
        </w:rPr>
        <w:t>2017年度部门决算情况说明</w:t>
      </w:r>
    </w:p>
    <w:p>
      <w:pPr>
        <w:spacing w:beforeLines="0" w:afterLines="0"/>
        <w:ind w:firstLine="640"/>
        <w:jc w:val="left"/>
        <w:rPr>
          <w:rFonts w:hint="eastAsia" w:ascii="仿宋" w:hAnsi="仿宋" w:eastAsia="仿宋"/>
          <w:sz w:val="32"/>
        </w:rPr>
      </w:pPr>
      <w:r>
        <w:rPr>
          <w:rFonts w:hint="eastAsia" w:ascii="黑体" w:hAnsi="黑体" w:eastAsia="黑体"/>
          <w:sz w:val="32"/>
        </w:rPr>
        <w:t>一、收入支出决算总体情况说明</w:t>
      </w:r>
    </w:p>
    <w:p>
      <w:pPr>
        <w:spacing w:beforeLines="0" w:afterLines="0"/>
        <w:jc w:val="left"/>
        <w:rPr>
          <w:rFonts w:hint="eastAsia" w:ascii="仿宋" w:hAnsi="仿宋" w:eastAsia="仿宋"/>
          <w:sz w:val="32"/>
        </w:rPr>
      </w:pPr>
      <w:r>
        <w:rPr>
          <w:rFonts w:hint="eastAsia" w:ascii="仿宋" w:hAnsi="仿宋" w:eastAsia="仿宋"/>
          <w:sz w:val="32"/>
        </w:rPr>
        <w:t xml:space="preserve">     2017年度收、支总计均为108.69万元。与2016年相比，收</w:t>
      </w:r>
      <w:r>
        <w:rPr>
          <w:rFonts w:hint="eastAsia" w:ascii="仿宋" w:hAnsi="仿宋" w:eastAsia="仿宋"/>
          <w:sz w:val="32"/>
          <w:lang w:eastAsia="zh-CN"/>
        </w:rPr>
        <w:t>入</w:t>
      </w:r>
      <w:r>
        <w:rPr>
          <w:rFonts w:hint="eastAsia" w:ascii="仿宋" w:hAnsi="仿宋" w:eastAsia="仿宋"/>
          <w:sz w:val="32"/>
        </w:rPr>
        <w:t>总计</w:t>
      </w:r>
      <w:r>
        <w:rPr>
          <w:rFonts w:hint="eastAsia" w:ascii="仿宋" w:hAnsi="仿宋" w:eastAsia="仿宋"/>
          <w:sz w:val="32"/>
          <w:lang w:val="en-US" w:eastAsia="zh-CN"/>
        </w:rPr>
        <w:t>90</w:t>
      </w:r>
      <w:r>
        <w:rPr>
          <w:rFonts w:hint="eastAsia" w:ascii="仿宋" w:hAnsi="仿宋" w:eastAsia="仿宋"/>
          <w:sz w:val="32"/>
        </w:rPr>
        <w:t>万元，</w:t>
      </w:r>
      <w:r>
        <w:rPr>
          <w:rFonts w:hint="eastAsia" w:ascii="仿宋" w:hAnsi="仿宋" w:eastAsia="仿宋"/>
          <w:sz w:val="32"/>
          <w:lang w:eastAsia="zh-CN"/>
        </w:rPr>
        <w:t>增加</w:t>
      </w:r>
      <w:r>
        <w:rPr>
          <w:rFonts w:hint="eastAsia" w:ascii="仿宋" w:hAnsi="仿宋" w:eastAsia="仿宋"/>
          <w:sz w:val="32"/>
          <w:lang w:val="en-US" w:eastAsia="zh-CN"/>
        </w:rPr>
        <w:t>2</w:t>
      </w:r>
      <w:r>
        <w:rPr>
          <w:rFonts w:hint="eastAsia" w:ascii="仿宋" w:hAnsi="仿宋" w:eastAsia="仿宋"/>
          <w:sz w:val="32"/>
        </w:rPr>
        <w:t>0%</w:t>
      </w:r>
      <w:r>
        <w:rPr>
          <w:rFonts w:hint="eastAsia" w:ascii="仿宋" w:hAnsi="仿宋" w:eastAsia="仿宋"/>
          <w:sz w:val="32"/>
          <w:lang w:eastAsia="zh-CN"/>
        </w:rPr>
        <w:t>，支出总计</w:t>
      </w:r>
      <w:r>
        <w:rPr>
          <w:rFonts w:hint="eastAsia" w:ascii="仿宋" w:hAnsi="仿宋" w:eastAsia="仿宋"/>
          <w:sz w:val="32"/>
          <w:lang w:val="en-US" w:eastAsia="zh-CN"/>
        </w:rPr>
        <w:t>115万元，减少7%</w:t>
      </w:r>
      <w:r>
        <w:rPr>
          <w:rFonts w:hint="eastAsia" w:ascii="仿宋" w:hAnsi="仿宋" w:eastAsia="仿宋"/>
          <w:sz w:val="32"/>
        </w:rPr>
        <w:t>。主要原因是</w:t>
      </w:r>
      <w:r>
        <w:rPr>
          <w:rFonts w:hint="eastAsia" w:ascii="仿宋" w:hAnsi="仿宋" w:eastAsia="仿宋"/>
          <w:sz w:val="32"/>
          <w:lang w:eastAsia="zh-CN"/>
        </w:rPr>
        <w:t>严控预算规模，压缩开支</w:t>
      </w:r>
      <w:r>
        <w:rPr>
          <w:rFonts w:hint="eastAsia" w:ascii="仿宋" w:hAnsi="仿宋" w:eastAsia="仿宋"/>
          <w:sz w:val="32"/>
        </w:rPr>
        <w:t>。</w:t>
      </w:r>
    </w:p>
    <w:p>
      <w:pPr>
        <w:spacing w:beforeLines="0" w:afterLines="0"/>
        <w:ind w:firstLine="640"/>
        <w:jc w:val="left"/>
        <w:rPr>
          <w:rFonts w:hint="eastAsia" w:ascii="仿宋" w:hAnsi="仿宋" w:eastAsia="仿宋"/>
          <w:sz w:val="32"/>
        </w:rPr>
      </w:pPr>
      <w:r>
        <w:rPr>
          <w:rFonts w:hint="eastAsia" w:ascii="黑体" w:hAnsi="黑体" w:eastAsia="黑体"/>
          <w:sz w:val="32"/>
        </w:rPr>
        <w:t>二、收入决算情况说明</w:t>
      </w:r>
    </w:p>
    <w:p>
      <w:pPr>
        <w:spacing w:beforeLines="0" w:afterLines="0"/>
        <w:ind w:firstLine="640"/>
        <w:rPr>
          <w:rFonts w:hint="eastAsia" w:ascii="仿宋" w:hAnsi="仿宋" w:eastAsia="仿宋"/>
          <w:sz w:val="32"/>
        </w:rPr>
      </w:pPr>
      <w:r>
        <w:rPr>
          <w:rFonts w:hint="eastAsia" w:ascii="仿宋" w:hAnsi="仿宋" w:eastAsia="仿宋"/>
          <w:sz w:val="32"/>
        </w:rPr>
        <w:t>2017年度收入合计108.69万元，其中：财政拨款收入108.69万元，占</w:t>
      </w:r>
      <w:r>
        <w:rPr>
          <w:rFonts w:hint="eastAsia" w:ascii="仿宋" w:hAnsi="仿宋" w:eastAsia="仿宋"/>
          <w:sz w:val="32"/>
          <w:lang w:val="en-US" w:eastAsia="zh-CN"/>
        </w:rPr>
        <w:t>10</w:t>
      </w:r>
      <w:r>
        <w:rPr>
          <w:rFonts w:hint="eastAsia" w:ascii="仿宋" w:hAnsi="仿宋" w:eastAsia="仿宋"/>
          <w:sz w:val="32"/>
        </w:rPr>
        <w:t>0%；上级补助收入0万元，占0%；事业收入0万元，占0%；经营收入0万元，占0%；附属单位上缴收入0万元，占0%；其他收入0万元，占0%。</w:t>
      </w:r>
    </w:p>
    <w:p>
      <w:pPr>
        <w:spacing w:beforeLines="0" w:afterLines="0"/>
        <w:ind w:firstLine="640"/>
        <w:jc w:val="left"/>
        <w:rPr>
          <w:rFonts w:hint="eastAsia" w:ascii="仿宋" w:hAnsi="仿宋" w:eastAsia="仿宋"/>
          <w:sz w:val="32"/>
        </w:rPr>
      </w:pPr>
      <w:r>
        <w:rPr>
          <w:rFonts w:hint="eastAsia" w:ascii="黑体" w:hAnsi="黑体" w:eastAsia="黑体"/>
          <w:sz w:val="32"/>
        </w:rPr>
        <w:t>三、支出决算情况说明</w:t>
      </w:r>
    </w:p>
    <w:p>
      <w:pPr>
        <w:spacing w:beforeLines="0" w:afterLines="0"/>
        <w:ind w:firstLine="640"/>
        <w:rPr>
          <w:rFonts w:hint="eastAsia" w:ascii="仿宋" w:hAnsi="仿宋" w:eastAsia="仿宋"/>
          <w:sz w:val="32"/>
        </w:rPr>
      </w:pPr>
      <w:r>
        <w:rPr>
          <w:rFonts w:hint="eastAsia" w:ascii="仿宋" w:hAnsi="仿宋" w:eastAsia="仿宋"/>
          <w:sz w:val="32"/>
        </w:rPr>
        <w:t>2017年度支出合计98.52万元，其中：基本支出35.42万元，占</w:t>
      </w:r>
      <w:r>
        <w:rPr>
          <w:rFonts w:hint="eastAsia" w:ascii="仿宋" w:hAnsi="仿宋" w:eastAsia="仿宋"/>
          <w:sz w:val="32"/>
          <w:lang w:val="en-US" w:eastAsia="zh-CN"/>
        </w:rPr>
        <w:t>35</w:t>
      </w:r>
      <w:r>
        <w:rPr>
          <w:rFonts w:hint="eastAsia" w:ascii="仿宋" w:hAnsi="仿宋" w:eastAsia="仿宋"/>
          <w:sz w:val="32"/>
        </w:rPr>
        <w:t>%；项目支出63.1万元，占</w:t>
      </w:r>
      <w:r>
        <w:rPr>
          <w:rFonts w:hint="eastAsia" w:ascii="仿宋" w:hAnsi="仿宋" w:eastAsia="仿宋"/>
          <w:sz w:val="32"/>
          <w:lang w:val="en-US" w:eastAsia="zh-CN"/>
        </w:rPr>
        <w:t>65</w:t>
      </w:r>
      <w:r>
        <w:rPr>
          <w:rFonts w:hint="eastAsia" w:ascii="仿宋" w:hAnsi="仿宋" w:eastAsia="仿宋"/>
          <w:sz w:val="32"/>
        </w:rPr>
        <w:t>%；上缴上级支出0万元，占0%；经营支出0万元，占0%；对附属单位支出0万元，占0%。</w:t>
      </w:r>
    </w:p>
    <w:p>
      <w:pPr>
        <w:spacing w:beforeLines="0" w:afterLines="0"/>
        <w:ind w:firstLine="640"/>
        <w:jc w:val="left"/>
        <w:rPr>
          <w:rFonts w:hint="eastAsia" w:ascii="仿宋" w:hAnsi="仿宋" w:eastAsia="仿宋"/>
          <w:sz w:val="32"/>
        </w:rPr>
      </w:pPr>
      <w:r>
        <w:rPr>
          <w:rFonts w:hint="eastAsia" w:ascii="黑体" w:hAnsi="黑体" w:eastAsia="黑体"/>
          <w:sz w:val="32"/>
        </w:rPr>
        <w:t>四、财政拨款收入支出决算总体情况说明</w:t>
      </w:r>
    </w:p>
    <w:p>
      <w:pPr>
        <w:spacing w:beforeLines="0" w:afterLines="0"/>
        <w:ind w:firstLine="640"/>
        <w:jc w:val="left"/>
        <w:rPr>
          <w:rFonts w:hint="eastAsia" w:ascii="仿宋" w:hAnsi="仿宋" w:eastAsia="仿宋"/>
          <w:sz w:val="32"/>
        </w:rPr>
      </w:pPr>
      <w:r>
        <w:rPr>
          <w:rFonts w:hint="eastAsia" w:ascii="仿宋" w:hAnsi="仿宋" w:eastAsia="仿宋"/>
          <w:sz w:val="32"/>
        </w:rPr>
        <w:t>2017年财政拨款收、支总计均为108.69万元。与2016年相比，财政拨款收、支总计各</w:t>
      </w:r>
      <w:r>
        <w:rPr>
          <w:rFonts w:hint="eastAsia" w:ascii="仿宋" w:hAnsi="仿宋" w:eastAsia="仿宋"/>
          <w:sz w:val="32"/>
          <w:lang w:val="en-US" w:eastAsia="zh-CN"/>
        </w:rPr>
        <w:t>89</w:t>
      </w:r>
      <w:r>
        <w:rPr>
          <w:rFonts w:hint="eastAsia" w:ascii="仿宋" w:hAnsi="仿宋" w:eastAsia="仿宋"/>
          <w:sz w:val="32"/>
        </w:rPr>
        <w:t>万元，</w:t>
      </w:r>
      <w:r>
        <w:rPr>
          <w:rFonts w:hint="eastAsia" w:ascii="仿宋" w:hAnsi="仿宋" w:eastAsia="仿宋"/>
          <w:sz w:val="32"/>
          <w:lang w:val="en-US" w:eastAsia="zh-CN"/>
        </w:rPr>
        <w:t>121</w:t>
      </w:r>
      <w:r>
        <w:rPr>
          <w:rFonts w:hint="eastAsia" w:ascii="仿宋" w:hAnsi="仿宋" w:eastAsia="仿宋"/>
          <w:sz w:val="32"/>
        </w:rPr>
        <w:t>%。主要原因是</w:t>
      </w:r>
      <w:r>
        <w:rPr>
          <w:rFonts w:hint="eastAsia" w:ascii="仿宋" w:hAnsi="仿宋" w:eastAsia="仿宋"/>
          <w:sz w:val="32"/>
          <w:lang w:eastAsia="zh-CN"/>
        </w:rPr>
        <w:t>严控预算规模，压缩开支</w:t>
      </w:r>
      <w:r>
        <w:rPr>
          <w:rFonts w:hint="eastAsia" w:ascii="仿宋" w:hAnsi="仿宋" w:eastAsia="仿宋"/>
          <w:sz w:val="32"/>
        </w:rPr>
        <w:t>。</w:t>
      </w:r>
    </w:p>
    <w:p>
      <w:pPr>
        <w:spacing w:beforeLines="0" w:afterLines="0"/>
        <w:ind w:firstLine="640"/>
        <w:jc w:val="left"/>
        <w:rPr>
          <w:rFonts w:hint="eastAsia" w:ascii="仿宋" w:hAnsi="仿宋" w:eastAsia="仿宋"/>
          <w:sz w:val="32"/>
        </w:rPr>
      </w:pPr>
    </w:p>
    <w:p>
      <w:pPr>
        <w:spacing w:beforeLines="0" w:afterLines="0"/>
        <w:ind w:firstLine="640"/>
        <w:jc w:val="left"/>
        <w:rPr>
          <w:rFonts w:hint="eastAsia" w:ascii="仿宋" w:hAnsi="仿宋" w:eastAsia="仿宋"/>
          <w:sz w:val="32"/>
        </w:rPr>
      </w:pPr>
    </w:p>
    <w:p>
      <w:pPr>
        <w:spacing w:beforeLines="0" w:afterLines="0"/>
        <w:ind w:firstLine="640"/>
        <w:jc w:val="left"/>
        <w:rPr>
          <w:rFonts w:hint="eastAsia" w:ascii="仿宋" w:hAnsi="仿宋" w:eastAsia="仿宋"/>
          <w:sz w:val="32"/>
        </w:rPr>
      </w:pPr>
    </w:p>
    <w:p>
      <w:pPr>
        <w:spacing w:beforeLines="0" w:afterLines="0"/>
        <w:ind w:firstLine="640"/>
        <w:jc w:val="left"/>
        <w:rPr>
          <w:rFonts w:hint="eastAsia" w:ascii="仿宋" w:hAnsi="仿宋" w:eastAsia="仿宋"/>
          <w:sz w:val="32"/>
        </w:rPr>
      </w:pPr>
      <w:r>
        <w:rPr>
          <w:rFonts w:hint="eastAsia" w:ascii="黑体" w:hAnsi="黑体" w:eastAsia="黑体"/>
          <w:sz w:val="32"/>
        </w:rPr>
        <w:t>五、一般公共预算财政拨款支出决算情况说明</w:t>
      </w:r>
    </w:p>
    <w:p>
      <w:pPr>
        <w:spacing w:beforeLines="0" w:afterLines="0"/>
        <w:ind w:firstLine="640"/>
        <w:jc w:val="left"/>
        <w:rPr>
          <w:rFonts w:hint="eastAsia" w:ascii="仿宋" w:hAnsi="仿宋" w:eastAsia="仿宋"/>
          <w:sz w:val="32"/>
        </w:rPr>
      </w:pPr>
      <w:r>
        <w:rPr>
          <w:rFonts w:hint="eastAsia" w:ascii="楷体" w:hAnsi="楷体" w:eastAsia="楷体"/>
          <w:sz w:val="32"/>
        </w:rPr>
        <w:t>（一）总体情况。</w:t>
      </w:r>
    </w:p>
    <w:p>
      <w:pPr>
        <w:spacing w:beforeLines="0" w:afterLines="0"/>
        <w:ind w:firstLine="640"/>
        <w:jc w:val="left"/>
        <w:rPr>
          <w:rFonts w:hint="eastAsia" w:ascii="仿宋" w:hAnsi="仿宋" w:eastAsia="仿宋"/>
          <w:sz w:val="32"/>
        </w:rPr>
      </w:pPr>
      <w:r>
        <w:rPr>
          <w:rFonts w:hint="eastAsia" w:ascii="仿宋" w:hAnsi="仿宋" w:eastAsia="仿宋"/>
          <w:sz w:val="32"/>
        </w:rPr>
        <w:t>2017年一般公共预算财政拨款支出98.52万元，占支出合计的</w:t>
      </w:r>
      <w:r>
        <w:rPr>
          <w:rFonts w:hint="eastAsia" w:ascii="仿宋" w:hAnsi="仿宋" w:eastAsia="仿宋"/>
          <w:sz w:val="32"/>
          <w:lang w:val="en-US" w:eastAsia="zh-CN"/>
        </w:rPr>
        <w:t>90</w:t>
      </w:r>
      <w:r>
        <w:rPr>
          <w:rFonts w:hint="eastAsia" w:ascii="仿宋" w:hAnsi="仿宋" w:eastAsia="仿宋"/>
          <w:sz w:val="32"/>
        </w:rPr>
        <w:t>%。与2016年相比，一般公共预算财政拨款支出</w:t>
      </w:r>
      <w:r>
        <w:rPr>
          <w:rFonts w:hint="eastAsia" w:ascii="仿宋" w:hAnsi="仿宋" w:eastAsia="仿宋"/>
          <w:sz w:val="32"/>
          <w:lang w:val="en-US" w:eastAsia="zh-CN"/>
        </w:rPr>
        <w:t>89</w:t>
      </w:r>
      <w:r>
        <w:rPr>
          <w:rFonts w:hint="eastAsia" w:ascii="仿宋" w:hAnsi="仿宋" w:eastAsia="仿宋"/>
          <w:sz w:val="32"/>
        </w:rPr>
        <w:t>万元，</w:t>
      </w:r>
      <w:r>
        <w:rPr>
          <w:rFonts w:hint="eastAsia" w:ascii="仿宋" w:hAnsi="仿宋" w:eastAsia="仿宋"/>
          <w:sz w:val="32"/>
          <w:lang w:eastAsia="zh-CN"/>
        </w:rPr>
        <w:t>增加</w:t>
      </w:r>
      <w:r>
        <w:rPr>
          <w:rFonts w:hint="eastAsia" w:ascii="仿宋" w:hAnsi="仿宋" w:eastAsia="仿宋"/>
          <w:sz w:val="32"/>
          <w:lang w:val="en-US" w:eastAsia="zh-CN"/>
        </w:rPr>
        <w:t>1</w:t>
      </w:r>
      <w:r>
        <w:rPr>
          <w:rFonts w:hint="eastAsia" w:ascii="仿宋" w:hAnsi="仿宋" w:eastAsia="仿宋"/>
          <w:sz w:val="32"/>
        </w:rPr>
        <w:t>0%。变动的主要原因是</w:t>
      </w:r>
      <w:r>
        <w:rPr>
          <w:rFonts w:hint="eastAsia" w:ascii="仿宋" w:hAnsi="仿宋" w:eastAsia="仿宋"/>
          <w:sz w:val="32"/>
          <w:lang w:eastAsia="zh-CN"/>
        </w:rPr>
        <w:t>新进人员及经费增加</w:t>
      </w:r>
      <w:r>
        <w:rPr>
          <w:rFonts w:hint="eastAsia" w:ascii="仿宋" w:hAnsi="仿宋" w:eastAsia="仿宋"/>
          <w:sz w:val="32"/>
        </w:rPr>
        <w:t>。</w:t>
      </w:r>
    </w:p>
    <w:p>
      <w:pPr>
        <w:spacing w:beforeLines="0" w:afterLines="0"/>
        <w:ind w:firstLine="640"/>
        <w:jc w:val="left"/>
        <w:rPr>
          <w:rFonts w:hint="eastAsia" w:ascii="仿宋" w:hAnsi="仿宋" w:eastAsia="仿宋"/>
          <w:sz w:val="32"/>
        </w:rPr>
      </w:pPr>
      <w:r>
        <w:rPr>
          <w:rFonts w:hint="eastAsia" w:ascii="楷体" w:hAnsi="楷体" w:eastAsia="楷体"/>
          <w:sz w:val="32"/>
        </w:rPr>
        <w:t>（二）结构情况。</w:t>
      </w:r>
    </w:p>
    <w:p>
      <w:pPr>
        <w:spacing w:beforeLines="0" w:afterLines="0"/>
        <w:ind w:firstLine="640"/>
        <w:jc w:val="left"/>
        <w:rPr>
          <w:rFonts w:hint="eastAsia" w:ascii="仿宋" w:hAnsi="仿宋" w:eastAsia="仿宋"/>
          <w:sz w:val="32"/>
        </w:rPr>
      </w:pPr>
      <w:r>
        <w:rPr>
          <w:rFonts w:hint="eastAsia" w:ascii="仿宋" w:hAnsi="仿宋" w:eastAsia="仿宋"/>
          <w:sz w:val="32"/>
        </w:rPr>
        <w:t>2017年度一般公共预算财政拨款支出98.52万元，主要用于以下方面：一般公共服务（类）支出0万元，占0%；外交（类）支出0万元，占0%；国防（类）支出0万元，占0%；公共安全（类）支出0万元，占0%；教育（类）支出0万元，占0%；科学技术（类）支出0万元，占0%；文化体育与传媒（类）支出0万元，占0%；社会保障和就业（类）支出98.52万元，占</w:t>
      </w:r>
      <w:r>
        <w:rPr>
          <w:rFonts w:hint="eastAsia" w:ascii="仿宋" w:hAnsi="仿宋" w:eastAsia="仿宋"/>
          <w:sz w:val="32"/>
          <w:lang w:val="en-US" w:eastAsia="zh-CN"/>
        </w:rPr>
        <w:t>10</w:t>
      </w:r>
      <w:r>
        <w:rPr>
          <w:rFonts w:hint="eastAsia" w:ascii="仿宋" w:hAnsi="仿宋" w:eastAsia="仿宋"/>
          <w:sz w:val="32"/>
        </w:rPr>
        <w:t>0%；医疗卫生和计划生育（类）支出0万元，占0%；节能环保（类）支出0万元，占0%；城乡社区（类）支出0万元，占0%；农林水（类）支出0万元，占0%；交通运输（类）支出0万元，占0%；资源勘探信息（类）支出0万元，占0%；商业服务业（类）支出0万元，占0%；金融（类）支出0万元，占0%；援助其他地区（类）支出0万元，占0%；国土海洋气象（类）支出0万元，占0%；住房保障（类）支出0万元，占0%；粮油物资储备（类）支出0万元，占0%；其他（类）支出0万元，占0%；债务还本（类）支出0万元，占0%；债务付息（类）支出0万元，占0%。</w:t>
      </w:r>
    </w:p>
    <w:p>
      <w:pPr>
        <w:spacing w:beforeLines="0" w:afterLines="0"/>
        <w:ind w:firstLine="640"/>
        <w:jc w:val="left"/>
        <w:rPr>
          <w:rFonts w:hint="eastAsia" w:ascii="仿宋" w:hAnsi="仿宋" w:eastAsia="仿宋"/>
          <w:sz w:val="32"/>
        </w:rPr>
      </w:pPr>
      <w:r>
        <w:rPr>
          <w:rFonts w:hint="eastAsia" w:ascii="楷体" w:hAnsi="楷体" w:eastAsia="楷体"/>
          <w:sz w:val="32"/>
        </w:rPr>
        <w:t>（三）具体情况。</w:t>
      </w:r>
    </w:p>
    <w:p>
      <w:pPr>
        <w:spacing w:beforeLines="0" w:afterLines="0"/>
        <w:ind w:firstLine="640"/>
        <w:rPr>
          <w:rFonts w:hint="eastAsia" w:ascii="仿宋" w:hAnsi="仿宋" w:eastAsia="仿宋"/>
          <w:sz w:val="32"/>
        </w:rPr>
      </w:pPr>
      <w:r>
        <w:rPr>
          <w:rFonts w:hint="eastAsia" w:ascii="仿宋" w:hAnsi="仿宋" w:eastAsia="仿宋"/>
          <w:sz w:val="32"/>
        </w:rPr>
        <w:t>2017年度一般公共预算财政拨款支出年初预算为93.09万元，支出决算为98.52万元，完成年初预算的</w:t>
      </w:r>
      <w:r>
        <w:rPr>
          <w:rFonts w:hint="eastAsia" w:ascii="仿宋" w:hAnsi="仿宋" w:eastAsia="仿宋"/>
          <w:sz w:val="32"/>
          <w:lang w:val="en-US" w:eastAsia="zh-CN"/>
        </w:rPr>
        <w:t>105</w:t>
      </w:r>
      <w:r>
        <w:rPr>
          <w:rFonts w:hint="eastAsia" w:ascii="仿宋" w:hAnsi="仿宋" w:eastAsia="仿宋"/>
          <w:sz w:val="32"/>
        </w:rPr>
        <w:t>%。决算数与年初预算数存在差异的主要原因：是</w:t>
      </w:r>
      <w:r>
        <w:rPr>
          <w:rFonts w:hint="eastAsia" w:ascii="仿宋" w:hAnsi="仿宋" w:eastAsia="仿宋"/>
          <w:sz w:val="32"/>
          <w:lang w:eastAsia="zh-CN"/>
        </w:rPr>
        <w:t>新进人员及经费增加</w:t>
      </w:r>
      <w:r>
        <w:rPr>
          <w:rFonts w:hint="eastAsia" w:ascii="仿宋" w:hAnsi="仿宋" w:eastAsia="仿宋"/>
          <w:sz w:val="32"/>
        </w:rPr>
        <w:t>。其中：</w:t>
      </w:r>
    </w:p>
    <w:p>
      <w:pPr>
        <w:spacing w:beforeLines="0" w:afterLines="0"/>
        <w:ind w:firstLine="640"/>
        <w:rPr>
          <w:rFonts w:hint="eastAsia" w:ascii="仿宋" w:hAnsi="仿宋" w:eastAsia="仿宋"/>
          <w:sz w:val="32"/>
        </w:rPr>
      </w:pPr>
      <w:r>
        <w:rPr>
          <w:rFonts w:hint="eastAsia" w:ascii="仿宋" w:hAnsi="仿宋" w:eastAsia="仿宋"/>
          <w:sz w:val="32"/>
        </w:rPr>
        <w:t>1．一般公共服务（类）财政事务（款）行政运行（项）。年初预算为</w:t>
      </w:r>
      <w:r>
        <w:rPr>
          <w:rFonts w:hint="eastAsia" w:ascii="仿宋" w:hAnsi="仿宋" w:eastAsia="仿宋"/>
          <w:sz w:val="32"/>
          <w:lang w:val="en-US" w:eastAsia="zh-CN"/>
        </w:rPr>
        <w:t>93</w:t>
      </w:r>
      <w:r>
        <w:rPr>
          <w:rFonts w:hint="eastAsia" w:ascii="仿宋" w:hAnsi="仿宋" w:eastAsia="仿宋"/>
          <w:sz w:val="32"/>
        </w:rPr>
        <w:t>万元，支出决算为</w:t>
      </w:r>
      <w:r>
        <w:rPr>
          <w:rFonts w:hint="eastAsia" w:ascii="仿宋" w:hAnsi="仿宋" w:eastAsia="仿宋"/>
          <w:sz w:val="32"/>
          <w:lang w:val="en-US" w:eastAsia="zh-CN"/>
        </w:rPr>
        <w:t>35.4</w:t>
      </w:r>
      <w:r>
        <w:rPr>
          <w:rFonts w:hint="eastAsia" w:ascii="仿宋" w:hAnsi="仿宋" w:eastAsia="仿宋"/>
          <w:sz w:val="32"/>
        </w:rPr>
        <w:t>万元，完成年初预算的</w:t>
      </w:r>
      <w:r>
        <w:rPr>
          <w:rFonts w:hint="eastAsia" w:ascii="仿宋" w:hAnsi="仿宋" w:eastAsia="仿宋"/>
          <w:sz w:val="32"/>
          <w:lang w:val="en-US" w:eastAsia="zh-CN"/>
        </w:rPr>
        <w:t>37</w:t>
      </w:r>
      <w:r>
        <w:rPr>
          <w:rFonts w:hint="eastAsia" w:ascii="仿宋" w:hAnsi="仿宋" w:eastAsia="仿宋"/>
          <w:sz w:val="32"/>
        </w:rPr>
        <w:t>%。决算数小于预算数的主要原因是</w:t>
      </w:r>
      <w:r>
        <w:rPr>
          <w:rFonts w:hint="eastAsia" w:ascii="仿宋" w:hAnsi="仿宋" w:eastAsia="仿宋"/>
          <w:sz w:val="32"/>
          <w:lang w:eastAsia="zh-CN"/>
        </w:rPr>
        <w:t>压缩预算规模，严控开支</w:t>
      </w:r>
      <w:r>
        <w:rPr>
          <w:rFonts w:hint="eastAsia" w:ascii="仿宋" w:hAnsi="仿宋" w:eastAsia="仿宋"/>
          <w:sz w:val="32"/>
        </w:rPr>
        <w:t>。</w:t>
      </w:r>
    </w:p>
    <w:p>
      <w:pPr>
        <w:spacing w:beforeLines="0" w:afterLines="0"/>
        <w:ind w:firstLine="640"/>
        <w:rPr>
          <w:rFonts w:hint="eastAsia" w:ascii="仿宋" w:hAnsi="仿宋" w:eastAsia="仿宋"/>
          <w:sz w:val="32"/>
        </w:rPr>
      </w:pPr>
      <w:r>
        <w:rPr>
          <w:rFonts w:hint="eastAsia" w:ascii="仿宋" w:hAnsi="仿宋" w:eastAsia="仿宋"/>
          <w:sz w:val="32"/>
        </w:rPr>
        <w:t>2．一般公共服务（类）财政事务（款）一般行政管理事务（项）。年初预算为</w:t>
      </w:r>
      <w:r>
        <w:rPr>
          <w:rFonts w:hint="eastAsia" w:ascii="仿宋" w:hAnsi="仿宋" w:eastAsia="仿宋"/>
          <w:sz w:val="32"/>
          <w:lang w:val="en-US" w:eastAsia="zh-CN"/>
        </w:rPr>
        <w:t>0</w:t>
      </w:r>
      <w:r>
        <w:rPr>
          <w:rFonts w:hint="eastAsia" w:ascii="仿宋" w:hAnsi="仿宋" w:eastAsia="仿宋"/>
          <w:sz w:val="32"/>
        </w:rPr>
        <w:t>万元，支出决算为</w:t>
      </w:r>
      <w:r>
        <w:rPr>
          <w:rFonts w:hint="eastAsia" w:ascii="仿宋" w:hAnsi="仿宋" w:eastAsia="仿宋"/>
          <w:sz w:val="32"/>
          <w:lang w:val="en-US" w:eastAsia="zh-CN"/>
        </w:rPr>
        <w:t>63</w:t>
      </w:r>
      <w:r>
        <w:rPr>
          <w:rFonts w:hint="eastAsia" w:ascii="仿宋" w:hAnsi="仿宋" w:eastAsia="仿宋"/>
          <w:sz w:val="32"/>
        </w:rPr>
        <w:t>万元，完成年初预算的</w:t>
      </w:r>
      <w:r>
        <w:rPr>
          <w:rFonts w:hint="eastAsia" w:ascii="仿宋" w:hAnsi="仿宋" w:eastAsia="仿宋"/>
          <w:sz w:val="32"/>
          <w:lang w:val="en-US" w:eastAsia="zh-CN"/>
        </w:rPr>
        <w:t>63</w:t>
      </w:r>
      <w:r>
        <w:rPr>
          <w:rFonts w:hint="eastAsia" w:ascii="仿宋" w:hAnsi="仿宋" w:eastAsia="仿宋"/>
          <w:sz w:val="32"/>
        </w:rPr>
        <w:t>%。决算数大于（小于）预算数的主要原因是</w:t>
      </w:r>
      <w:r>
        <w:rPr>
          <w:rFonts w:hint="eastAsia" w:ascii="仿宋" w:hAnsi="仿宋" w:eastAsia="仿宋"/>
          <w:sz w:val="32"/>
          <w:lang w:eastAsia="zh-CN"/>
        </w:rPr>
        <w:t>：残疾人就业培训项目未例如年初预算</w:t>
      </w:r>
      <w:r>
        <w:rPr>
          <w:rFonts w:hint="eastAsia" w:ascii="仿宋" w:hAnsi="仿宋" w:eastAsia="仿宋"/>
          <w:sz w:val="32"/>
        </w:rPr>
        <w:t>。</w:t>
      </w:r>
    </w:p>
    <w:p>
      <w:pPr>
        <w:spacing w:beforeLines="0" w:afterLines="0"/>
        <w:ind w:firstLine="640"/>
        <w:jc w:val="left"/>
        <w:rPr>
          <w:rFonts w:hint="eastAsia" w:ascii="仿宋" w:hAnsi="仿宋" w:eastAsia="仿宋"/>
          <w:sz w:val="32"/>
        </w:rPr>
      </w:pPr>
      <w:r>
        <w:rPr>
          <w:rFonts w:hint="eastAsia" w:ascii="黑体" w:hAnsi="黑体" w:eastAsia="黑体"/>
          <w:sz w:val="32"/>
        </w:rPr>
        <w:t>六、一般公共预算财政拨款基本支出决算情况说明</w:t>
      </w:r>
    </w:p>
    <w:p>
      <w:pPr>
        <w:pStyle w:val="2"/>
        <w:kinsoku w:val="0"/>
        <w:overflowPunct w:val="0"/>
        <w:snapToGrid w:val="0"/>
        <w:spacing w:line="360" w:lineRule="auto"/>
        <w:ind w:left="121" w:right="118" w:firstLine="360"/>
        <w:jc w:val="both"/>
        <w:rPr>
          <w:rFonts w:hint="eastAsia" w:ascii="仿宋" w:hAnsi="仿宋" w:eastAsia="仿宋"/>
          <w:sz w:val="32"/>
        </w:rPr>
      </w:pPr>
      <w:r>
        <w:rPr>
          <w:rFonts w:hint="eastAsia" w:ascii="仿宋" w:hAnsi="仿宋" w:eastAsia="仿宋"/>
          <w:sz w:val="32"/>
        </w:rPr>
        <w:t>2017年一般公共预算财政拨款基本支出35.42万元。与2016年相比，</w:t>
      </w:r>
      <w:r>
        <w:rPr>
          <w:rFonts w:hint="eastAsia" w:ascii="仿宋" w:hAnsi="仿宋" w:eastAsia="仿宋"/>
          <w:sz w:val="32"/>
          <w:lang w:val="en-US" w:eastAsia="zh-CN"/>
        </w:rPr>
        <w:t>19</w:t>
      </w:r>
      <w:r>
        <w:rPr>
          <w:rFonts w:hint="eastAsia" w:ascii="仿宋" w:hAnsi="仿宋" w:eastAsia="仿宋"/>
          <w:sz w:val="32"/>
        </w:rPr>
        <w:t>万元，</w:t>
      </w:r>
      <w:r>
        <w:rPr>
          <w:rFonts w:hint="eastAsia" w:ascii="仿宋" w:hAnsi="仿宋" w:eastAsia="仿宋"/>
          <w:sz w:val="32"/>
          <w:lang w:eastAsia="zh-CN"/>
        </w:rPr>
        <w:t>增加</w:t>
      </w:r>
      <w:r>
        <w:rPr>
          <w:rFonts w:hint="eastAsia" w:ascii="仿宋" w:hAnsi="仿宋" w:eastAsia="仿宋"/>
          <w:sz w:val="32"/>
          <w:lang w:val="en-US" w:eastAsia="zh-CN"/>
        </w:rPr>
        <w:t>80</w:t>
      </w:r>
      <w:r>
        <w:rPr>
          <w:rFonts w:hint="eastAsia" w:ascii="仿宋" w:hAnsi="仿宋" w:eastAsia="仿宋"/>
          <w:sz w:val="32"/>
        </w:rPr>
        <w:t>%。变动的主要原因：</w:t>
      </w:r>
      <w:r>
        <w:rPr>
          <w:rFonts w:hint="eastAsia" w:ascii="仿宋" w:hAnsi="仿宋" w:eastAsia="仿宋"/>
          <w:sz w:val="32"/>
          <w:lang w:eastAsia="zh-CN"/>
        </w:rPr>
        <w:t>新进人员及经费增加</w:t>
      </w:r>
      <w:r>
        <w:rPr>
          <w:rFonts w:hint="eastAsia" w:ascii="仿宋" w:hAnsi="仿宋" w:eastAsia="仿宋"/>
          <w:sz w:val="32"/>
        </w:rPr>
        <w:t>。其中：人员经费17.94万元，</w:t>
      </w:r>
      <w:r>
        <w:rPr>
          <w:rFonts w:hint="eastAsia" w:hAnsi="宋体" w:cs="Courier New"/>
          <w:kern w:val="2"/>
        </w:rPr>
        <w:t>主要包括：基本工资、津贴补贴、奖金、社会保障缴费、伙食补助费、绩效工资、其他工资福利支出、离休费、退休费、退职（役）费、抚恤金、生活补助、医疗费、助学金、奖励金、住房公积金、提租补贴、购房补贴、其他对个人和家庭的补助支出</w:t>
      </w:r>
      <w:r>
        <w:rPr>
          <w:rFonts w:hint="eastAsia" w:ascii="仿宋" w:hAnsi="仿宋" w:eastAsia="仿宋"/>
          <w:sz w:val="32"/>
        </w:rPr>
        <w:t>；公用经费17.48万元，主要包括：</w:t>
      </w:r>
      <w:r>
        <w:rPr>
          <w:rFonts w:hint="eastAsia" w:hAnsi="宋体" w:cs="Courier New"/>
          <w:kern w:val="2"/>
        </w:rPr>
        <w:t>办公费、印刷费、咨询费、手续费、水费、电费、邮电费、取暖费、物业管理费、差旅费、因公出国（境）费、维修（护）费、租赁费、会议费、培训费、公务接待费、专用材料费、劳务费、委托业务费、工会经费、福利费、公务用车运行维护费、其他交通费用、税金及附加费用、其他商品和服务支出、办公设备购置、专用设备购置、大型修缮、信息网络及软件购置更新、其他资本性支出。</w:t>
      </w:r>
    </w:p>
    <w:p>
      <w:pPr>
        <w:spacing w:beforeLines="0" w:afterLines="0"/>
        <w:ind w:firstLine="640"/>
        <w:jc w:val="left"/>
        <w:rPr>
          <w:rFonts w:hint="eastAsia" w:ascii="仿宋" w:hAnsi="仿宋" w:eastAsia="仿宋"/>
          <w:sz w:val="32"/>
        </w:rPr>
      </w:pPr>
      <w:r>
        <w:rPr>
          <w:rFonts w:hint="eastAsia" w:ascii="黑体" w:hAnsi="黑体" w:eastAsia="黑体"/>
          <w:sz w:val="32"/>
        </w:rPr>
        <w:t>七、一般公共预算财政拨款</w:t>
      </w:r>
      <w:r>
        <w:rPr>
          <w:rFonts w:hint="default" w:ascii="黑体" w:hAnsi="黑体" w:eastAsia="黑体"/>
          <w:sz w:val="32"/>
        </w:rPr>
        <w:t>“</w:t>
      </w:r>
      <w:r>
        <w:rPr>
          <w:rFonts w:hint="eastAsia" w:ascii="黑体" w:hAnsi="黑体" w:eastAsia="黑体"/>
          <w:sz w:val="32"/>
        </w:rPr>
        <w:t>三公</w:t>
      </w:r>
      <w:r>
        <w:rPr>
          <w:rFonts w:hint="default" w:ascii="黑体" w:hAnsi="黑体" w:eastAsia="黑体"/>
          <w:sz w:val="32"/>
        </w:rPr>
        <w:t>”</w:t>
      </w:r>
      <w:r>
        <w:rPr>
          <w:rFonts w:hint="eastAsia" w:ascii="黑体" w:hAnsi="黑体" w:eastAsia="黑体"/>
          <w:sz w:val="32"/>
        </w:rPr>
        <w:t>经费支出决算情况说明</w:t>
      </w:r>
    </w:p>
    <w:p>
      <w:pPr>
        <w:spacing w:beforeLines="0" w:afterLines="0"/>
        <w:ind w:firstLine="640"/>
        <w:jc w:val="left"/>
        <w:rPr>
          <w:rFonts w:hint="eastAsia" w:ascii="仿宋" w:hAnsi="仿宋" w:eastAsia="仿宋"/>
          <w:sz w:val="32"/>
        </w:rPr>
      </w:pPr>
      <w:r>
        <w:rPr>
          <w:rFonts w:hint="eastAsia" w:ascii="楷体" w:hAnsi="楷体" w:eastAsia="楷体"/>
          <w:sz w:val="32"/>
        </w:rPr>
        <w:t>（一）</w:t>
      </w:r>
      <w:r>
        <w:rPr>
          <w:rFonts w:hint="default" w:ascii="楷体" w:hAnsi="楷体" w:eastAsia="楷体"/>
          <w:sz w:val="32"/>
        </w:rPr>
        <w:t>“</w:t>
      </w:r>
      <w:r>
        <w:rPr>
          <w:rFonts w:hint="eastAsia" w:ascii="楷体" w:hAnsi="楷体" w:eastAsia="楷体"/>
          <w:sz w:val="32"/>
        </w:rPr>
        <w:t>三公</w:t>
      </w:r>
      <w:r>
        <w:rPr>
          <w:rFonts w:hint="default" w:ascii="楷体" w:hAnsi="楷体" w:eastAsia="楷体"/>
          <w:sz w:val="32"/>
        </w:rPr>
        <w:t>”</w:t>
      </w:r>
      <w:r>
        <w:rPr>
          <w:rFonts w:hint="eastAsia" w:ascii="楷体" w:hAnsi="楷体" w:eastAsia="楷体"/>
          <w:sz w:val="32"/>
        </w:rPr>
        <w:t>经费财政拨款支出决算总体情况说明。</w:t>
      </w:r>
    </w:p>
    <w:p>
      <w:pPr>
        <w:spacing w:beforeLines="0" w:afterLines="0"/>
        <w:ind w:firstLine="640"/>
        <w:rPr>
          <w:rFonts w:hint="eastAsia" w:ascii="仿宋" w:hAnsi="仿宋" w:eastAsia="仿宋"/>
          <w:sz w:val="32"/>
        </w:rPr>
      </w:pPr>
      <w:r>
        <w:rPr>
          <w:rFonts w:hint="eastAsia" w:ascii="仿宋" w:hAnsi="仿宋" w:eastAsia="仿宋"/>
          <w:sz w:val="32"/>
        </w:rPr>
        <w:t>2017年度</w:t>
      </w:r>
      <w:r>
        <w:rPr>
          <w:rFonts w:hint="default" w:ascii="仿宋" w:hAnsi="仿宋" w:eastAsia="仿宋"/>
          <w:sz w:val="32"/>
        </w:rPr>
        <w:t>“</w:t>
      </w:r>
      <w:r>
        <w:rPr>
          <w:rFonts w:hint="eastAsia" w:ascii="仿宋" w:hAnsi="仿宋" w:eastAsia="仿宋"/>
          <w:sz w:val="32"/>
        </w:rPr>
        <w:t>三公</w:t>
      </w:r>
      <w:r>
        <w:rPr>
          <w:rFonts w:hint="default" w:ascii="仿宋" w:hAnsi="仿宋" w:eastAsia="仿宋"/>
          <w:sz w:val="32"/>
        </w:rPr>
        <w:t>”</w:t>
      </w:r>
      <w:r>
        <w:rPr>
          <w:rFonts w:hint="eastAsia" w:ascii="仿宋" w:hAnsi="仿宋" w:eastAsia="仿宋"/>
          <w:sz w:val="32"/>
        </w:rPr>
        <w:t>经费财政拨款支出预算为</w:t>
      </w:r>
      <w:r>
        <w:rPr>
          <w:rFonts w:hint="eastAsia" w:ascii="仿宋" w:hAnsi="仿宋" w:eastAsia="仿宋"/>
          <w:sz w:val="32"/>
          <w:lang w:val="en-US" w:eastAsia="zh-CN"/>
        </w:rPr>
        <w:t>2.7</w:t>
      </w:r>
      <w:r>
        <w:rPr>
          <w:rFonts w:hint="eastAsia" w:ascii="仿宋" w:hAnsi="仿宋" w:eastAsia="仿宋"/>
          <w:sz w:val="32"/>
        </w:rPr>
        <w:t>万元，支出决算为0万元，完成预算的0%。2017年度</w:t>
      </w:r>
      <w:r>
        <w:rPr>
          <w:rFonts w:hint="default" w:ascii="仿宋" w:hAnsi="仿宋" w:eastAsia="仿宋"/>
          <w:sz w:val="32"/>
        </w:rPr>
        <w:t>“</w:t>
      </w:r>
      <w:r>
        <w:rPr>
          <w:rFonts w:hint="eastAsia" w:ascii="仿宋" w:hAnsi="仿宋" w:eastAsia="仿宋"/>
          <w:sz w:val="32"/>
        </w:rPr>
        <w:t>三公</w:t>
      </w:r>
      <w:r>
        <w:rPr>
          <w:rFonts w:hint="default" w:ascii="仿宋" w:hAnsi="仿宋" w:eastAsia="仿宋"/>
          <w:sz w:val="32"/>
        </w:rPr>
        <w:t>”</w:t>
      </w:r>
      <w:r>
        <w:rPr>
          <w:rFonts w:hint="eastAsia" w:ascii="仿宋" w:hAnsi="仿宋" w:eastAsia="仿宋"/>
          <w:sz w:val="32"/>
        </w:rPr>
        <w:t>经费支出决算数与预算数存在差异的主要原因是</w:t>
      </w:r>
      <w:r>
        <w:rPr>
          <w:rFonts w:hint="eastAsia" w:ascii="仿宋" w:hAnsi="仿宋" w:eastAsia="仿宋"/>
          <w:sz w:val="32"/>
          <w:lang w:eastAsia="zh-CN"/>
        </w:rPr>
        <w:t>压缩预算规模，严控开支</w:t>
      </w:r>
      <w:r>
        <w:rPr>
          <w:rFonts w:hint="eastAsia" w:ascii="仿宋" w:hAnsi="仿宋" w:eastAsia="仿宋"/>
          <w:sz w:val="32"/>
        </w:rPr>
        <w:t>。</w:t>
      </w:r>
    </w:p>
    <w:p>
      <w:pPr>
        <w:spacing w:beforeLines="0" w:afterLines="0"/>
        <w:ind w:firstLine="640"/>
        <w:rPr>
          <w:rFonts w:hint="eastAsia" w:ascii="仿宋" w:hAnsi="仿宋" w:eastAsia="仿宋"/>
          <w:sz w:val="32"/>
        </w:rPr>
      </w:pPr>
      <w:r>
        <w:rPr>
          <w:rFonts w:hint="eastAsia" w:ascii="楷体" w:hAnsi="楷体" w:eastAsia="楷体"/>
          <w:sz w:val="32"/>
        </w:rPr>
        <w:t>（二）</w:t>
      </w:r>
      <w:r>
        <w:rPr>
          <w:rFonts w:hint="default" w:ascii="楷体" w:hAnsi="楷体" w:eastAsia="楷体"/>
          <w:sz w:val="32"/>
        </w:rPr>
        <w:t>“</w:t>
      </w:r>
      <w:r>
        <w:rPr>
          <w:rFonts w:hint="eastAsia" w:ascii="楷体" w:hAnsi="楷体" w:eastAsia="楷体"/>
          <w:sz w:val="32"/>
        </w:rPr>
        <w:t>三公</w:t>
      </w:r>
      <w:r>
        <w:rPr>
          <w:rFonts w:hint="default" w:ascii="楷体" w:hAnsi="楷体" w:eastAsia="楷体"/>
          <w:sz w:val="32"/>
        </w:rPr>
        <w:t>”</w:t>
      </w:r>
      <w:r>
        <w:rPr>
          <w:rFonts w:hint="eastAsia" w:ascii="楷体" w:hAnsi="楷体" w:eastAsia="楷体"/>
          <w:sz w:val="32"/>
        </w:rPr>
        <w:t>经费财政拨款支出决算具体情况说明。</w:t>
      </w:r>
    </w:p>
    <w:p>
      <w:pPr>
        <w:spacing w:beforeLines="0" w:afterLines="0"/>
        <w:ind w:firstLine="640"/>
        <w:rPr>
          <w:rFonts w:hint="eastAsia" w:ascii="仿宋" w:hAnsi="仿宋" w:eastAsia="仿宋"/>
          <w:sz w:val="32"/>
        </w:rPr>
      </w:pPr>
      <w:r>
        <w:rPr>
          <w:rFonts w:hint="eastAsia" w:ascii="仿宋" w:hAnsi="仿宋" w:eastAsia="仿宋"/>
          <w:sz w:val="32"/>
        </w:rPr>
        <w:t>2017年度</w:t>
      </w:r>
      <w:r>
        <w:rPr>
          <w:rFonts w:hint="default" w:ascii="仿宋" w:hAnsi="仿宋" w:eastAsia="仿宋"/>
          <w:sz w:val="32"/>
        </w:rPr>
        <w:t>“</w:t>
      </w:r>
      <w:r>
        <w:rPr>
          <w:rFonts w:hint="eastAsia" w:ascii="仿宋" w:hAnsi="仿宋" w:eastAsia="仿宋"/>
          <w:sz w:val="32"/>
        </w:rPr>
        <w:t>三公</w:t>
      </w:r>
      <w:r>
        <w:rPr>
          <w:rFonts w:hint="default" w:ascii="仿宋" w:hAnsi="仿宋" w:eastAsia="仿宋"/>
          <w:sz w:val="32"/>
        </w:rPr>
        <w:t>”</w:t>
      </w:r>
      <w:r>
        <w:rPr>
          <w:rFonts w:hint="eastAsia" w:ascii="仿宋" w:hAnsi="仿宋" w:eastAsia="仿宋"/>
          <w:sz w:val="32"/>
        </w:rPr>
        <w:t>经费财政拨款支出决算中，因公出国（境）费支出决算0万元，占0%，完成预算的0%；公务用车购置及运行费支出决算</w:t>
      </w:r>
      <w:r>
        <w:rPr>
          <w:rFonts w:hint="eastAsia" w:ascii="仿宋" w:hAnsi="仿宋" w:eastAsia="仿宋"/>
          <w:sz w:val="32"/>
          <w:lang w:val="en-US" w:eastAsia="zh-CN"/>
        </w:rPr>
        <w:t>1.7</w:t>
      </w:r>
      <w:r>
        <w:rPr>
          <w:rFonts w:hint="eastAsia" w:ascii="仿宋" w:hAnsi="仿宋" w:eastAsia="仿宋"/>
          <w:sz w:val="32"/>
        </w:rPr>
        <w:t>万元，占0%，完成预算的0%；公务接待费支出决算</w:t>
      </w:r>
      <w:r>
        <w:rPr>
          <w:rFonts w:hint="eastAsia" w:ascii="仿宋" w:hAnsi="仿宋" w:eastAsia="仿宋"/>
          <w:sz w:val="32"/>
          <w:lang w:val="en-US" w:eastAsia="zh-CN"/>
        </w:rPr>
        <w:t>1</w:t>
      </w:r>
      <w:r>
        <w:rPr>
          <w:rFonts w:hint="eastAsia" w:ascii="仿宋" w:hAnsi="仿宋" w:eastAsia="仿宋"/>
          <w:sz w:val="32"/>
        </w:rPr>
        <w:t>万元，占0%，完成预算的0%。具体情况如下：</w:t>
      </w:r>
    </w:p>
    <w:p>
      <w:pPr>
        <w:spacing w:beforeLines="0" w:afterLines="0"/>
        <w:ind w:firstLine="640"/>
        <w:jc w:val="left"/>
        <w:rPr>
          <w:rFonts w:hint="eastAsia" w:ascii="仿宋" w:hAnsi="仿宋" w:eastAsia="仿宋"/>
          <w:sz w:val="32"/>
        </w:rPr>
      </w:pPr>
      <w:r>
        <w:rPr>
          <w:rFonts w:hint="eastAsia" w:ascii="仿宋" w:hAnsi="仿宋" w:eastAsia="仿宋"/>
          <w:sz w:val="32"/>
        </w:rPr>
        <w:t>1．因公出国（境）费支出0万元。全年安排河南省安阳市残疾人就业服务中心机关因公出国（境）团组0个，累计0人次。开支内容包括：</w:t>
      </w:r>
    </w:p>
    <w:p>
      <w:pPr>
        <w:spacing w:beforeLines="0" w:afterLines="0"/>
        <w:ind w:firstLine="640"/>
        <w:jc w:val="left"/>
        <w:rPr>
          <w:rFonts w:hint="eastAsia" w:ascii="仿宋" w:hAnsi="仿宋" w:eastAsia="仿宋"/>
          <w:sz w:val="32"/>
        </w:rPr>
      </w:pPr>
      <w:r>
        <w:rPr>
          <w:rFonts w:hint="eastAsia" w:ascii="仿宋" w:hAnsi="仿宋" w:eastAsia="仿宋"/>
          <w:sz w:val="32"/>
        </w:rPr>
        <w:t>会议支出</w:t>
      </w:r>
      <w:r>
        <w:rPr>
          <w:rFonts w:hint="eastAsia" w:ascii="仿宋" w:hAnsi="仿宋" w:eastAsia="仿宋"/>
          <w:sz w:val="32"/>
          <w:lang w:val="en-US" w:eastAsia="zh-CN"/>
        </w:rPr>
        <w:t>0</w:t>
      </w:r>
      <w:r>
        <w:rPr>
          <w:rFonts w:hint="eastAsia" w:ascii="仿宋" w:hAnsi="仿宋" w:eastAsia="仿宋"/>
          <w:sz w:val="32"/>
        </w:rPr>
        <w:t>万元，主要用于参加以下国际会议。</w:t>
      </w:r>
    </w:p>
    <w:p>
      <w:pPr>
        <w:spacing w:beforeLines="0" w:afterLines="0"/>
        <w:ind w:firstLine="640"/>
        <w:jc w:val="left"/>
        <w:rPr>
          <w:rFonts w:hint="eastAsia" w:ascii="仿宋" w:hAnsi="仿宋" w:eastAsia="仿宋"/>
          <w:sz w:val="32"/>
        </w:rPr>
      </w:pPr>
      <w:r>
        <w:rPr>
          <w:rFonts w:hint="eastAsia" w:ascii="仿宋" w:hAnsi="仿宋" w:eastAsia="仿宋"/>
          <w:sz w:val="32"/>
        </w:rPr>
        <w:t>出国谈判、工作磋商支出</w:t>
      </w:r>
      <w:r>
        <w:rPr>
          <w:rFonts w:hint="eastAsia" w:ascii="仿宋" w:hAnsi="仿宋" w:eastAsia="仿宋"/>
          <w:sz w:val="32"/>
          <w:lang w:val="en-US" w:eastAsia="zh-CN"/>
        </w:rPr>
        <w:t>0</w:t>
      </w:r>
      <w:r>
        <w:rPr>
          <w:rFonts w:hint="eastAsia" w:ascii="仿宋" w:hAnsi="仿宋" w:eastAsia="仿宋"/>
          <w:sz w:val="32"/>
        </w:rPr>
        <w:t>万元，主要用于参加以下谈判和磋商等。</w:t>
      </w:r>
    </w:p>
    <w:p>
      <w:pPr>
        <w:spacing w:beforeLines="0" w:afterLines="0"/>
        <w:ind w:firstLine="640"/>
        <w:jc w:val="left"/>
        <w:rPr>
          <w:rFonts w:hint="eastAsia" w:ascii="仿宋" w:hAnsi="仿宋" w:eastAsia="仿宋"/>
          <w:sz w:val="32"/>
        </w:rPr>
      </w:pPr>
      <w:r>
        <w:rPr>
          <w:rFonts w:hint="eastAsia" w:ascii="仿宋" w:hAnsi="仿宋" w:eastAsia="仿宋"/>
          <w:sz w:val="32"/>
        </w:rPr>
        <w:t>境外业务培训支出支出</w:t>
      </w:r>
      <w:r>
        <w:rPr>
          <w:rFonts w:hint="eastAsia" w:ascii="仿宋" w:hAnsi="仿宋" w:eastAsia="仿宋"/>
          <w:sz w:val="32"/>
          <w:lang w:val="en-US" w:eastAsia="zh-CN"/>
        </w:rPr>
        <w:t>0</w:t>
      </w:r>
      <w:r>
        <w:rPr>
          <w:rFonts w:hint="eastAsia" w:ascii="仿宋" w:hAnsi="仿宋" w:eastAsia="仿宋"/>
          <w:sz w:val="32"/>
        </w:rPr>
        <w:t>万元，主要用于为提高财政管理水平而举办的公共财政支出结构比较研究、社会保障政策等。</w:t>
      </w:r>
    </w:p>
    <w:p>
      <w:pPr>
        <w:spacing w:beforeLines="0" w:afterLines="0"/>
        <w:ind w:firstLine="640"/>
        <w:jc w:val="left"/>
        <w:rPr>
          <w:rFonts w:hint="eastAsia" w:ascii="仿宋" w:hAnsi="仿宋" w:eastAsia="仿宋"/>
          <w:sz w:val="32"/>
        </w:rPr>
      </w:pPr>
      <w:r>
        <w:rPr>
          <w:rFonts w:hint="eastAsia" w:ascii="仿宋" w:hAnsi="仿宋" w:eastAsia="仿宋"/>
          <w:sz w:val="32"/>
        </w:rPr>
        <w:t>因公出国（境）费支出决算比2016年度0万元，0%。</w:t>
      </w:r>
    </w:p>
    <w:p>
      <w:pPr>
        <w:spacing w:beforeLines="0" w:afterLines="0"/>
        <w:ind w:firstLine="640"/>
        <w:jc w:val="left"/>
        <w:rPr>
          <w:rFonts w:hint="eastAsia" w:ascii="仿宋" w:hAnsi="仿宋" w:eastAsia="仿宋"/>
          <w:sz w:val="32"/>
        </w:rPr>
      </w:pPr>
      <w:r>
        <w:rPr>
          <w:rFonts w:hint="eastAsia" w:ascii="仿宋" w:hAnsi="仿宋" w:eastAsia="仿宋"/>
          <w:sz w:val="32"/>
        </w:rPr>
        <w:t>2．公务用车购置及运行费支出0万元。其中：</w:t>
      </w:r>
    </w:p>
    <w:p>
      <w:pPr>
        <w:spacing w:beforeLines="0" w:afterLines="0"/>
        <w:ind w:firstLine="640"/>
        <w:jc w:val="left"/>
        <w:rPr>
          <w:rFonts w:hint="eastAsia" w:ascii="仿宋" w:hAnsi="仿宋" w:eastAsia="仿宋"/>
          <w:sz w:val="32"/>
        </w:rPr>
      </w:pPr>
      <w:r>
        <w:rPr>
          <w:rFonts w:hint="eastAsia" w:ascii="仿宋" w:hAnsi="仿宋" w:eastAsia="仿宋"/>
          <w:sz w:val="32"/>
        </w:rPr>
        <w:t>公务用车购置支出为0万元，购置车辆</w:t>
      </w:r>
      <w:r>
        <w:rPr>
          <w:rFonts w:hint="eastAsia" w:ascii="仿宋" w:hAnsi="仿宋" w:eastAsia="仿宋"/>
          <w:sz w:val="32"/>
          <w:lang w:val="en-US" w:eastAsia="zh-CN"/>
        </w:rPr>
        <w:t>0</w:t>
      </w:r>
      <w:r>
        <w:rPr>
          <w:rFonts w:hint="eastAsia" w:ascii="仿宋" w:hAnsi="仿宋" w:eastAsia="仿宋"/>
          <w:sz w:val="32"/>
        </w:rPr>
        <w:t>台车。</w:t>
      </w:r>
    </w:p>
    <w:p>
      <w:pPr>
        <w:spacing w:beforeLines="0" w:afterLines="0"/>
        <w:ind w:firstLine="640"/>
        <w:jc w:val="left"/>
        <w:rPr>
          <w:rFonts w:hint="eastAsia" w:ascii="仿宋" w:hAnsi="仿宋" w:eastAsia="仿宋"/>
          <w:sz w:val="32"/>
        </w:rPr>
      </w:pPr>
      <w:r>
        <w:rPr>
          <w:rFonts w:hint="eastAsia" w:ascii="仿宋" w:hAnsi="仿宋" w:eastAsia="仿宋"/>
          <w:sz w:val="32"/>
        </w:rPr>
        <w:t>公务用车运行支出0万元。2017年期末，部门财政拨款公务用车保有量为0辆。</w:t>
      </w:r>
    </w:p>
    <w:p>
      <w:pPr>
        <w:spacing w:beforeLines="0" w:afterLines="0"/>
        <w:ind w:firstLine="640"/>
        <w:jc w:val="left"/>
        <w:rPr>
          <w:rFonts w:hint="eastAsia" w:ascii="仿宋" w:hAnsi="仿宋" w:eastAsia="仿宋"/>
          <w:sz w:val="32"/>
        </w:rPr>
      </w:pPr>
      <w:r>
        <w:rPr>
          <w:rFonts w:hint="eastAsia" w:ascii="仿宋" w:hAnsi="仿宋" w:eastAsia="仿宋"/>
          <w:sz w:val="32"/>
        </w:rPr>
        <w:t>公务用车购置运行费支出决算比2016年度0万元，0%，主要原因是。</w:t>
      </w:r>
    </w:p>
    <w:p>
      <w:pPr>
        <w:spacing w:beforeLines="0" w:afterLines="0"/>
        <w:ind w:firstLine="640"/>
        <w:jc w:val="left"/>
        <w:rPr>
          <w:rFonts w:hint="eastAsia" w:ascii="仿宋" w:hAnsi="仿宋" w:eastAsia="仿宋"/>
          <w:sz w:val="32"/>
        </w:rPr>
      </w:pPr>
      <w:r>
        <w:rPr>
          <w:rFonts w:hint="eastAsia" w:ascii="仿宋" w:hAnsi="仿宋" w:eastAsia="仿宋"/>
          <w:sz w:val="32"/>
        </w:rPr>
        <w:t>3．公务接待费支出0万元。其中：</w:t>
      </w:r>
    </w:p>
    <w:p>
      <w:pPr>
        <w:spacing w:beforeLines="0" w:afterLines="0"/>
        <w:ind w:firstLine="640"/>
        <w:jc w:val="left"/>
        <w:rPr>
          <w:rFonts w:hint="eastAsia" w:ascii="仿宋" w:hAnsi="仿宋" w:eastAsia="仿宋"/>
          <w:sz w:val="32"/>
        </w:rPr>
      </w:pPr>
      <w:r>
        <w:rPr>
          <w:rFonts w:hint="eastAsia" w:ascii="仿宋" w:hAnsi="仿宋" w:eastAsia="仿宋"/>
          <w:sz w:val="32"/>
        </w:rPr>
        <w:t>外宾接待支出0万元。</w:t>
      </w:r>
    </w:p>
    <w:p>
      <w:pPr>
        <w:spacing w:beforeLines="0" w:afterLines="0"/>
        <w:ind w:firstLine="640"/>
        <w:jc w:val="left"/>
        <w:rPr>
          <w:rFonts w:hint="eastAsia" w:ascii="仿宋" w:hAnsi="仿宋" w:eastAsia="仿宋"/>
          <w:sz w:val="32"/>
        </w:rPr>
      </w:pPr>
      <w:r>
        <w:rPr>
          <w:rFonts w:hint="eastAsia" w:ascii="仿宋" w:hAnsi="仿宋" w:eastAsia="仿宋"/>
          <w:sz w:val="32"/>
        </w:rPr>
        <w:t>其他国内公务接待支出0万元。</w:t>
      </w:r>
    </w:p>
    <w:p>
      <w:pPr>
        <w:spacing w:beforeLines="0" w:afterLines="0"/>
        <w:ind w:firstLine="640"/>
        <w:jc w:val="left"/>
        <w:rPr>
          <w:rFonts w:hint="eastAsia" w:ascii="仿宋" w:hAnsi="仿宋" w:eastAsia="仿宋"/>
          <w:sz w:val="32"/>
        </w:rPr>
      </w:pPr>
      <w:r>
        <w:rPr>
          <w:rFonts w:hint="eastAsia" w:ascii="仿宋" w:hAnsi="仿宋" w:eastAsia="仿宋"/>
          <w:sz w:val="32"/>
        </w:rPr>
        <w:t>公务接待费支出决算比2016年度0万元，0%。</w:t>
      </w:r>
    </w:p>
    <w:p>
      <w:pPr>
        <w:spacing w:beforeLines="0" w:afterLines="0"/>
        <w:ind w:firstLine="640"/>
        <w:jc w:val="left"/>
        <w:rPr>
          <w:rFonts w:hint="eastAsia" w:ascii="仿宋" w:hAnsi="仿宋" w:eastAsia="仿宋"/>
          <w:sz w:val="32"/>
        </w:rPr>
      </w:pPr>
      <w:r>
        <w:rPr>
          <w:rFonts w:hint="eastAsia" w:ascii="仿宋" w:hAnsi="仿宋" w:eastAsia="仿宋"/>
          <w:sz w:val="32"/>
        </w:rPr>
        <w:t>河南省安阳市残疾人就业服务中心2017年度共接待国内来访团组0个、来访人员0人次（不包括陪同人员）。</w:t>
      </w:r>
    </w:p>
    <w:p>
      <w:pPr>
        <w:spacing w:beforeLines="0" w:afterLines="0"/>
        <w:ind w:firstLine="640"/>
        <w:jc w:val="left"/>
        <w:rPr>
          <w:rFonts w:hint="eastAsia" w:ascii="仿宋" w:hAnsi="仿宋" w:eastAsia="仿宋"/>
          <w:sz w:val="32"/>
        </w:rPr>
      </w:pPr>
      <w:r>
        <w:rPr>
          <w:rFonts w:hint="eastAsia" w:ascii="黑体" w:hAnsi="黑体" w:eastAsia="黑体"/>
          <w:sz w:val="32"/>
        </w:rPr>
        <w:t>八、预算绩效情况说明</w:t>
      </w:r>
    </w:p>
    <w:p>
      <w:pPr>
        <w:spacing w:beforeLines="0" w:afterLines="0"/>
        <w:ind w:firstLine="640"/>
        <w:jc w:val="left"/>
        <w:rPr>
          <w:rFonts w:hint="eastAsia" w:ascii="楷体" w:hAnsi="楷体" w:eastAsia="楷体"/>
          <w:sz w:val="32"/>
        </w:rPr>
      </w:pPr>
      <w:r>
        <w:rPr>
          <w:rFonts w:hint="eastAsia" w:ascii="楷体" w:hAnsi="楷体" w:eastAsia="楷体"/>
          <w:sz w:val="32"/>
        </w:rPr>
        <w:t>（一）绩效管理工作开展情况。</w:t>
      </w:r>
    </w:p>
    <w:p>
      <w:pPr>
        <w:spacing w:beforeLines="0" w:afterLines="0"/>
        <w:ind w:firstLine="640"/>
        <w:jc w:val="left"/>
        <w:rPr>
          <w:rFonts w:hint="eastAsia" w:ascii="楷体" w:hAnsi="楷体" w:eastAsia="楷体"/>
          <w:sz w:val="32"/>
          <w:lang w:val="en-US" w:eastAsia="zh-CN"/>
        </w:rPr>
      </w:pPr>
      <w:r>
        <w:rPr>
          <w:rFonts w:hint="eastAsia" w:ascii="仿宋" w:hAnsi="仿宋" w:eastAsia="仿宋" w:cs="仿宋"/>
          <w:sz w:val="32"/>
          <w:lang w:val="en-US" w:eastAsia="zh-CN"/>
        </w:rPr>
        <w:t>2017年安阳市残疾人就业中心组织项目资金绩效考核两次分别是：残疾人就业培训项目、盲人按摩培训项目，涉及当年项目资金63万元。</w:t>
      </w:r>
    </w:p>
    <w:p>
      <w:pPr>
        <w:numPr>
          <w:ilvl w:val="0"/>
          <w:numId w:val="2"/>
        </w:numPr>
        <w:spacing w:beforeLines="0" w:afterLines="0"/>
        <w:ind w:firstLine="640"/>
        <w:jc w:val="left"/>
        <w:rPr>
          <w:rFonts w:hint="eastAsia" w:ascii="楷体" w:hAnsi="楷体" w:eastAsia="楷体"/>
          <w:sz w:val="32"/>
        </w:rPr>
      </w:pPr>
      <w:r>
        <w:rPr>
          <w:rFonts w:hint="eastAsia" w:ascii="楷体" w:hAnsi="楷体" w:eastAsia="楷体"/>
          <w:sz w:val="32"/>
        </w:rPr>
        <w:t>项目绩效自评结果。</w:t>
      </w:r>
    </w:p>
    <w:p>
      <w:pPr>
        <w:pStyle w:val="2"/>
        <w:kinsoku w:val="0"/>
        <w:overflowPunct w:val="0"/>
        <w:snapToGrid w:val="0"/>
        <w:spacing w:line="360" w:lineRule="auto"/>
        <w:ind w:left="0" w:firstLine="640" w:firstLineChars="200"/>
        <w:jc w:val="both"/>
        <w:rPr>
          <w:rFonts w:hint="eastAsia" w:hAnsi="宋体" w:cs="Courier New"/>
          <w:kern w:val="2"/>
          <w:lang w:eastAsia="zh-CN"/>
        </w:rPr>
      </w:pPr>
      <w:r>
        <w:rPr>
          <w:rFonts w:hint="eastAsia" w:ascii="楷体" w:hAnsi="楷体" w:eastAsia="楷体"/>
          <w:sz w:val="32"/>
          <w:lang w:val="en-US" w:eastAsia="zh-CN"/>
        </w:rPr>
        <w:t xml:space="preserve">    </w:t>
      </w:r>
      <w:r>
        <w:rPr>
          <w:rFonts w:hint="eastAsia" w:hAnsi="宋体" w:cs="Courier New"/>
          <w:kern w:val="2"/>
        </w:rPr>
        <w:t>绩效评价结果概况说明：</w:t>
      </w:r>
      <w:r>
        <w:rPr>
          <w:rFonts w:hint="eastAsia" w:hAnsi="宋体" w:cs="Courier New"/>
          <w:kern w:val="2"/>
          <w:lang w:eastAsia="zh-CN"/>
        </w:rPr>
        <w:t>绩效考核良好</w:t>
      </w:r>
      <w:r>
        <w:rPr>
          <w:rFonts w:hint="eastAsia" w:hAnsi="宋体" w:cs="Courier New"/>
          <w:kern w:val="2"/>
        </w:rPr>
        <w:t>。</w:t>
      </w:r>
    </w:p>
    <w:p>
      <w:pPr>
        <w:spacing w:beforeLines="0" w:afterLines="0"/>
        <w:ind w:firstLine="640"/>
        <w:jc w:val="left"/>
        <w:rPr>
          <w:rFonts w:hint="eastAsia" w:ascii="仿宋" w:hAnsi="仿宋" w:eastAsia="仿宋"/>
          <w:sz w:val="32"/>
        </w:rPr>
      </w:pPr>
      <w:r>
        <w:rPr>
          <w:rFonts w:hint="eastAsia" w:ascii="黑体" w:hAnsi="黑体" w:eastAsia="黑体"/>
          <w:sz w:val="32"/>
        </w:rPr>
        <w:t>九、政府性基金预算财政拨款支出决算情况说明</w:t>
      </w:r>
    </w:p>
    <w:p>
      <w:pPr>
        <w:spacing w:beforeLines="0" w:afterLines="0"/>
        <w:ind w:firstLine="640"/>
        <w:rPr>
          <w:rFonts w:hint="eastAsia" w:ascii="仿宋" w:hAnsi="仿宋" w:eastAsia="仿宋"/>
          <w:sz w:val="32"/>
        </w:rPr>
      </w:pPr>
      <w:r>
        <w:rPr>
          <w:rFonts w:hint="eastAsia" w:ascii="仿宋" w:hAnsi="仿宋" w:eastAsia="仿宋"/>
          <w:sz w:val="32"/>
        </w:rPr>
        <w:t>2017年度政府性基金预算财政拨款支出年初预算为0万元，支出决算为0万元，完成年初预算的0%。</w:t>
      </w:r>
    </w:p>
    <w:p>
      <w:pPr>
        <w:spacing w:beforeLines="0" w:afterLines="0"/>
        <w:ind w:firstLine="640"/>
        <w:jc w:val="left"/>
        <w:rPr>
          <w:rFonts w:hint="eastAsia" w:ascii="仿宋" w:hAnsi="仿宋" w:eastAsia="仿宋"/>
          <w:sz w:val="32"/>
        </w:rPr>
      </w:pPr>
      <w:r>
        <w:rPr>
          <w:rFonts w:hint="eastAsia" w:ascii="黑体" w:hAnsi="黑体" w:eastAsia="黑体"/>
          <w:sz w:val="32"/>
        </w:rPr>
        <w:t>十、机关运行经费支出情况说明</w:t>
      </w:r>
    </w:p>
    <w:p>
      <w:pPr>
        <w:spacing w:beforeLines="0" w:afterLines="0"/>
        <w:ind w:firstLine="640"/>
        <w:rPr>
          <w:rFonts w:hint="eastAsia" w:ascii="仿宋" w:hAnsi="仿宋" w:eastAsia="仿宋"/>
          <w:sz w:val="32"/>
        </w:rPr>
      </w:pPr>
      <w:r>
        <w:rPr>
          <w:rFonts w:hint="eastAsia" w:ascii="仿宋" w:hAnsi="仿宋" w:eastAsia="仿宋"/>
          <w:sz w:val="32"/>
        </w:rPr>
        <w:t>2017年度机关运行经费支出</w:t>
      </w:r>
      <w:r>
        <w:rPr>
          <w:rFonts w:hint="eastAsia" w:ascii="仿宋" w:hAnsi="仿宋" w:eastAsia="仿宋"/>
          <w:sz w:val="32"/>
          <w:lang w:val="en-US" w:eastAsia="zh-CN"/>
        </w:rPr>
        <w:t>18</w:t>
      </w:r>
      <w:r>
        <w:rPr>
          <w:rFonts w:hint="eastAsia" w:ascii="仿宋" w:hAnsi="仿宋" w:eastAsia="仿宋"/>
          <w:sz w:val="32"/>
        </w:rPr>
        <w:t>万元，较2016年度</w:t>
      </w:r>
      <w:r>
        <w:rPr>
          <w:rFonts w:hint="eastAsia" w:ascii="仿宋" w:hAnsi="仿宋" w:eastAsia="仿宋"/>
          <w:sz w:val="32"/>
          <w:lang w:val="en-US" w:eastAsia="zh-CN"/>
        </w:rPr>
        <w:t>1</w:t>
      </w:r>
      <w:r>
        <w:rPr>
          <w:rFonts w:hint="eastAsia" w:ascii="仿宋" w:hAnsi="仿宋" w:eastAsia="仿宋"/>
          <w:sz w:val="32"/>
        </w:rPr>
        <w:t>0万元，</w:t>
      </w:r>
      <w:r>
        <w:rPr>
          <w:rFonts w:hint="eastAsia" w:ascii="仿宋" w:hAnsi="仿宋" w:eastAsia="仿宋"/>
          <w:sz w:val="32"/>
          <w:lang w:eastAsia="zh-CN"/>
        </w:rPr>
        <w:t>增加</w:t>
      </w:r>
      <w:r>
        <w:rPr>
          <w:rFonts w:hint="eastAsia" w:ascii="仿宋" w:hAnsi="仿宋" w:eastAsia="仿宋"/>
          <w:sz w:val="32"/>
          <w:lang w:val="en-US" w:eastAsia="zh-CN"/>
        </w:rPr>
        <w:t>8</w:t>
      </w:r>
      <w:r>
        <w:rPr>
          <w:rFonts w:hint="eastAsia" w:ascii="仿宋" w:hAnsi="仿宋" w:eastAsia="仿宋"/>
          <w:sz w:val="32"/>
        </w:rPr>
        <w:t>0%。的主要原因是</w:t>
      </w:r>
      <w:r>
        <w:rPr>
          <w:rFonts w:hint="eastAsia" w:ascii="仿宋" w:hAnsi="仿宋" w:eastAsia="仿宋"/>
          <w:sz w:val="32"/>
          <w:lang w:eastAsia="zh-CN"/>
        </w:rPr>
        <w:t>：新进人员及经费增加</w:t>
      </w:r>
      <w:r>
        <w:rPr>
          <w:rFonts w:hint="eastAsia" w:ascii="仿宋" w:hAnsi="仿宋" w:eastAsia="仿宋"/>
          <w:sz w:val="32"/>
        </w:rPr>
        <w:t>。</w:t>
      </w:r>
    </w:p>
    <w:p>
      <w:pPr>
        <w:spacing w:beforeLines="0" w:afterLines="0"/>
        <w:ind w:firstLine="640"/>
        <w:jc w:val="left"/>
        <w:rPr>
          <w:rFonts w:hint="eastAsia" w:ascii="仿宋" w:hAnsi="仿宋" w:eastAsia="仿宋"/>
          <w:sz w:val="32"/>
        </w:rPr>
      </w:pPr>
      <w:r>
        <w:rPr>
          <w:rFonts w:hint="eastAsia" w:ascii="黑体" w:hAnsi="黑体" w:eastAsia="黑体"/>
          <w:sz w:val="32"/>
        </w:rPr>
        <w:t>十一、政府采购支出情况说明</w:t>
      </w:r>
    </w:p>
    <w:p>
      <w:pPr>
        <w:spacing w:beforeLines="0" w:afterLines="0"/>
        <w:ind w:firstLine="640"/>
        <w:rPr>
          <w:rFonts w:hint="eastAsia" w:ascii="仿宋" w:hAnsi="仿宋" w:eastAsia="仿宋"/>
          <w:sz w:val="32"/>
        </w:rPr>
      </w:pPr>
      <w:r>
        <w:rPr>
          <w:rFonts w:hint="eastAsia" w:ascii="仿宋" w:hAnsi="仿宋" w:eastAsia="仿宋"/>
          <w:sz w:val="32"/>
        </w:rPr>
        <w:t>2017年度政府采购支出总额0万元，其中：政府采购货物支出0万元，政府采购工程支出0万元，政府采购服务支出0万元。授予中小企业合同金额</w:t>
      </w:r>
      <w:r>
        <w:rPr>
          <w:rFonts w:hint="eastAsia" w:ascii="仿宋" w:hAnsi="仿宋" w:eastAsia="仿宋"/>
          <w:sz w:val="32"/>
          <w:lang w:val="en-US" w:eastAsia="zh-CN"/>
        </w:rPr>
        <w:t>0</w:t>
      </w:r>
      <w:r>
        <w:rPr>
          <w:rFonts w:hint="eastAsia" w:ascii="仿宋" w:hAnsi="仿宋" w:eastAsia="仿宋"/>
          <w:sz w:val="32"/>
        </w:rPr>
        <w:t>万元，占政府采购支出总额的</w:t>
      </w:r>
      <w:r>
        <w:rPr>
          <w:rFonts w:hint="eastAsia" w:ascii="仿宋" w:hAnsi="仿宋" w:eastAsia="仿宋"/>
          <w:sz w:val="32"/>
          <w:lang w:val="en-US" w:eastAsia="zh-CN"/>
        </w:rPr>
        <w:t>0</w:t>
      </w:r>
      <w:r>
        <w:rPr>
          <w:rFonts w:hint="eastAsia" w:ascii="仿宋" w:hAnsi="仿宋" w:eastAsia="仿宋"/>
          <w:sz w:val="32"/>
        </w:rPr>
        <w:t>%，其中：授予小微企业合同金额</w:t>
      </w:r>
      <w:r>
        <w:rPr>
          <w:rFonts w:hint="eastAsia" w:ascii="仿宋" w:hAnsi="仿宋" w:eastAsia="仿宋"/>
          <w:sz w:val="32"/>
          <w:lang w:val="en-US" w:eastAsia="zh-CN"/>
        </w:rPr>
        <w:t>0</w:t>
      </w:r>
      <w:r>
        <w:rPr>
          <w:rFonts w:hint="eastAsia" w:ascii="仿宋" w:hAnsi="仿宋" w:eastAsia="仿宋"/>
          <w:sz w:val="32"/>
        </w:rPr>
        <w:t>万元，占政府采购支出总额的</w:t>
      </w:r>
      <w:r>
        <w:rPr>
          <w:rFonts w:hint="eastAsia" w:ascii="仿宋" w:hAnsi="仿宋" w:eastAsia="仿宋"/>
          <w:sz w:val="32"/>
          <w:lang w:val="en-US" w:eastAsia="zh-CN"/>
        </w:rPr>
        <w:t>0</w:t>
      </w:r>
      <w:r>
        <w:rPr>
          <w:rFonts w:hint="eastAsia" w:ascii="仿宋" w:hAnsi="仿宋" w:eastAsia="仿宋"/>
          <w:sz w:val="32"/>
        </w:rPr>
        <w:t>%。</w:t>
      </w:r>
    </w:p>
    <w:p>
      <w:pPr>
        <w:spacing w:beforeLines="0" w:afterLines="0"/>
        <w:ind w:firstLine="640"/>
        <w:jc w:val="left"/>
        <w:rPr>
          <w:rFonts w:hint="eastAsia" w:ascii="仿宋" w:hAnsi="仿宋" w:eastAsia="仿宋"/>
          <w:sz w:val="32"/>
        </w:rPr>
      </w:pPr>
      <w:r>
        <w:rPr>
          <w:rFonts w:hint="eastAsia" w:ascii="黑体" w:hAnsi="黑体" w:eastAsia="黑体"/>
          <w:sz w:val="32"/>
        </w:rPr>
        <w:t>十二、国有资产占用情况说明</w:t>
      </w:r>
    </w:p>
    <w:p>
      <w:pPr>
        <w:spacing w:beforeLines="0" w:afterLines="0"/>
        <w:jc w:val="left"/>
        <w:rPr>
          <w:rFonts w:hint="eastAsia" w:ascii="仿宋" w:hAnsi="仿宋" w:eastAsia="仿宋"/>
          <w:sz w:val="32"/>
        </w:rPr>
      </w:pPr>
      <w:r>
        <w:rPr>
          <w:rFonts w:hint="eastAsia" w:ascii="仿宋" w:hAnsi="仿宋" w:eastAsia="仿宋"/>
          <w:sz w:val="32"/>
        </w:rPr>
        <w:t xml:space="preserve">    2017年期末，河南省安阳市残疾人就业服务中心共有车辆0辆，其中：一般公务用车0辆、一般执法执勤用车0辆、特种专业技术用车0辆，其他用车0辆，其他用车主要是……；单位价值50万元以上通用设备0台（套），单位价值100万元以上专用设备0台（套）。</w:t>
      </w:r>
    </w:p>
    <w:p>
      <w:pPr>
        <w:spacing w:beforeLines="0" w:afterLines="0"/>
        <w:jc w:val="left"/>
        <w:rPr>
          <w:rFonts w:hint="eastAsia" w:ascii="仿宋" w:hAnsi="仿宋" w:eastAsia="仿宋"/>
          <w:sz w:val="32"/>
        </w:rPr>
      </w:pPr>
      <w:r>
        <w:rPr>
          <w:rFonts w:hint="eastAsia" w:ascii="仿宋" w:hAnsi="仿宋" w:eastAsia="仿宋"/>
          <w:sz w:val="32"/>
        </w:rPr>
        <w:t xml:space="preserve">    </w:t>
      </w:r>
      <w:r>
        <w:rPr>
          <w:rFonts w:hint="eastAsia" w:ascii="黑体" w:hAnsi="黑体" w:eastAsia="黑体"/>
          <w:sz w:val="32"/>
        </w:rPr>
        <w:t>十三、其他重要事项的情况说明</w:t>
      </w:r>
    </w:p>
    <w:p>
      <w:pPr>
        <w:spacing w:beforeLines="0" w:afterLines="0"/>
        <w:jc w:val="left"/>
        <w:rPr>
          <w:rFonts w:hint="default" w:ascii="Times New Roman" w:hAnsi="Times New Roman" w:eastAsia="Times New Roman"/>
          <w:sz w:val="52"/>
        </w:rPr>
      </w:pPr>
      <w:r>
        <w:rPr>
          <w:rFonts w:hint="eastAsia" w:ascii="仿宋" w:hAnsi="仿宋" w:eastAsia="仿宋"/>
          <w:sz w:val="32"/>
        </w:rPr>
        <w:t xml:space="preserve">    </w:t>
      </w:r>
      <w:bookmarkStart w:id="0" w:name="_GoBack"/>
      <w:bookmarkEnd w:id="0"/>
    </w:p>
    <w:p>
      <w:pPr>
        <w:spacing w:beforeLines="0" w:afterLines="0"/>
        <w:rPr>
          <w:rFonts w:hint="default" w:ascii="Times New Roman" w:hAnsi="Times New Roman" w:eastAsia="Times New Roman"/>
          <w:sz w:val="21"/>
        </w:rPr>
      </w:pPr>
    </w:p>
    <w:p>
      <w:pPr>
        <w:spacing w:beforeLines="0" w:afterLines="0"/>
        <w:jc w:val="left"/>
        <w:rPr>
          <w:rFonts w:hint="eastAsia" w:ascii="宋体" w:hAnsi="宋体"/>
          <w:kern w:val="0"/>
          <w:sz w:val="18"/>
          <w:lang w:val="zh-CN"/>
        </w:rPr>
      </w:pPr>
    </w:p>
    <w:p>
      <w:pPr>
        <w:jc w:val="center"/>
        <w:rPr>
          <w:rFonts w:hint="eastAsia" w:ascii="黑体" w:hAnsi="黑体" w:eastAsia="黑体" w:cs="黑体"/>
          <w:sz w:val="48"/>
          <w:szCs w:val="48"/>
        </w:rPr>
      </w:pPr>
      <w:r>
        <w:rPr>
          <w:rFonts w:hint="eastAsia" w:ascii="黑体" w:hAnsi="黑体" w:eastAsia="黑体" w:cs="黑体"/>
          <w:sz w:val="48"/>
          <w:szCs w:val="48"/>
        </w:rPr>
        <w:t>第四部分　　名词解释</w:t>
      </w:r>
    </w:p>
    <w:p>
      <w:pPr>
        <w:widowControl/>
        <w:spacing w:line="59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一、财政拨款收入：单位从同级政府财政部门取得的各类财政拨款。</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六、其他收入：单位取得的除“财政拨款收入”、“事业收入”、“上级补助收入”、“附属单位上缴收入”、“经营收入”等以外的收入。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黑体" w:hAnsi="仿宋_GB2312" w:eastAsia="黑体"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pPr>
        <w:kinsoku w:val="0"/>
        <w:overflowPunct w:val="0"/>
        <w:adjustRightInd w:val="0"/>
        <w:snapToGrid w:val="0"/>
        <w:spacing w:line="360" w:lineRule="auto"/>
        <w:ind w:firstLine="640"/>
        <w:rPr>
          <w:rFonts w:hint="eastAsia" w:ascii="黑体" w:eastAsia="黑体" w:cs="黑体"/>
          <w:szCs w:val="32"/>
        </w:rPr>
      </w:pPr>
    </w:p>
    <w:p>
      <w:pPr>
        <w:kinsoku w:val="0"/>
        <w:overflowPunct w:val="0"/>
        <w:adjustRightInd w:val="0"/>
        <w:snapToGrid w:val="0"/>
        <w:spacing w:line="360" w:lineRule="auto"/>
        <w:ind w:firstLine="640"/>
        <w:rPr>
          <w:rFonts w:hint="eastAsia" w:ascii="黑体" w:eastAsia="黑体" w:cs="黑体"/>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7E1C6"/>
    <w:multiLevelType w:val="singleLevel"/>
    <w:tmpl w:val="5987E1C6"/>
    <w:lvl w:ilvl="0" w:tentative="0">
      <w:start w:val="1"/>
      <w:numFmt w:val="chineseCounting"/>
      <w:suff w:val="nothing"/>
      <w:lvlText w:val="%1、"/>
      <w:lvlJc w:val="left"/>
    </w:lvl>
  </w:abstractNum>
  <w:abstractNum w:abstractNumId="1">
    <w:nsid w:val="64EEE5E1"/>
    <w:multiLevelType w:val="singleLevel"/>
    <w:tmpl w:val="64EEE5E1"/>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7E25F1"/>
    <w:rsid w:val="0C290870"/>
    <w:rsid w:val="2BEF1B2C"/>
    <w:rsid w:val="3C1D62E3"/>
    <w:rsid w:val="489C0195"/>
    <w:rsid w:val="51877553"/>
    <w:rsid w:val="57A63723"/>
    <w:rsid w:val="60B6359B"/>
    <w:rsid w:val="62597FF4"/>
    <w:rsid w:val="687E25F1"/>
    <w:rsid w:val="6D535020"/>
    <w:rsid w:val="7C012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spacing w:line="240" w:lineRule="auto"/>
      <w:ind w:left="761" w:firstLine="0" w:firstLineChars="0"/>
      <w:jc w:val="left"/>
    </w:pPr>
    <w:rPr>
      <w:rFonts w:ascii="仿宋_GB2312"/>
      <w:kern w:val="0"/>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2018-09-17T01:53:00Z</dcterms:created>
  <dc:creator>dell</dc:creator>
  <cp:lastModifiedBy>dell</cp:lastModifiedBy>
  <dcterms:modified xsi:type="dcterms:W3CDTF">2018-09-21T08:21:37Z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